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7414" w14:textId="77777777"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737CE34"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35950AF8" w14:textId="77777777" w:rsidR="00326617" w:rsidRDefault="00B34A20" w:rsidP="00326617">
            <w:pPr>
              <w:pStyle w:val="NoSpacing"/>
              <w:keepNext/>
            </w:pPr>
            <w:r>
              <w:drawing>
                <wp:inline distT="0" distB="0" distL="0" distR="0" wp14:anchorId="2B35B814" wp14:editId="46E39934">
                  <wp:extent cx="2152216" cy="22288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B797Q2G9.jpg"/>
                          <pic:cNvPicPr/>
                        </pic:nvPicPr>
                        <pic:blipFill>
                          <a:blip r:embed="rId11">
                            <a:extLst>
                              <a:ext uri="{28A0092B-C50C-407E-A947-70E740481C1C}">
                                <a14:useLocalDpi xmlns:a14="http://schemas.microsoft.com/office/drawing/2010/main" val="0"/>
                              </a:ext>
                            </a:extLst>
                          </a:blip>
                          <a:stretch>
                            <a:fillRect/>
                          </a:stretch>
                        </pic:blipFill>
                        <pic:spPr>
                          <a:xfrm>
                            <a:off x="0" y="0"/>
                            <a:ext cx="2216039" cy="2294946"/>
                          </a:xfrm>
                          <a:prstGeom prst="rect">
                            <a:avLst/>
                          </a:prstGeom>
                        </pic:spPr>
                      </pic:pic>
                    </a:graphicData>
                  </a:graphic>
                </wp:inline>
              </w:drawing>
            </w:r>
            <w:r w:rsidR="00367064">
              <w:drawing>
                <wp:inline distT="0" distB="0" distL="0" distR="0" wp14:anchorId="24793F3D" wp14:editId="5A7BD323">
                  <wp:extent cx="2657475" cy="3009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4479" cy="3029159"/>
                          </a:xfrm>
                          <a:prstGeom prst="rect">
                            <a:avLst/>
                          </a:prstGeom>
                        </pic:spPr>
                      </pic:pic>
                    </a:graphicData>
                  </a:graphic>
                </wp:inline>
              </w:drawing>
            </w:r>
          </w:p>
          <w:p w14:paraId="31D28E8E" w14:textId="77777777" w:rsidR="0001065E" w:rsidRDefault="00326617" w:rsidP="00326617">
            <w:pPr>
              <w:pStyle w:val="Caption"/>
            </w:pPr>
            <w:r>
              <w:t xml:space="preserve">Figure </w:t>
            </w:r>
            <w:r w:rsidR="00F90F19">
              <w:rPr>
                <w:noProof/>
              </w:rPr>
              <w:fldChar w:fldCharType="begin"/>
            </w:r>
            <w:r w:rsidR="00F90F19">
              <w:rPr>
                <w:noProof/>
              </w:rPr>
              <w:instrText xml:space="preserve"> SEQ Figure \* ARABIC </w:instrText>
            </w:r>
            <w:r w:rsidR="00F90F19">
              <w:rPr>
                <w:noProof/>
              </w:rPr>
              <w:fldChar w:fldCharType="separate"/>
            </w:r>
            <w:r w:rsidR="00250D28">
              <w:rPr>
                <w:noProof/>
              </w:rPr>
              <w:t>1</w:t>
            </w:r>
            <w:r w:rsidR="00F90F19">
              <w:rPr>
                <w:noProof/>
              </w:rPr>
              <w:fldChar w:fldCharType="end"/>
            </w:r>
            <w:r>
              <w:t>DHCFP</w:t>
            </w:r>
          </w:p>
        </w:tc>
        <w:tc>
          <w:tcPr>
            <w:tcW w:w="71" w:type="dxa"/>
            <w:tcBorders>
              <w:left w:val="single" w:sz="4" w:space="0" w:color="FFFFFF" w:themeColor="background1"/>
              <w:right w:val="single" w:sz="4" w:space="0" w:color="FFFFFF" w:themeColor="background1"/>
            </w:tcBorders>
            <w:tcMar>
              <w:left w:w="0" w:type="dxa"/>
              <w:right w:w="0" w:type="dxa"/>
            </w:tcMar>
          </w:tcPr>
          <w:p w14:paraId="75B3BBD8"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5851F659" w14:textId="77777777" w:rsidTr="00B34A20">
              <w:tc>
                <w:tcPr>
                  <w:tcW w:w="5000" w:type="pct"/>
                  <w:shd w:val="clear" w:color="auto" w:fill="0070C0"/>
                </w:tcPr>
                <w:p w14:paraId="0B3A3AA5" w14:textId="77777777" w:rsidR="00B34A20" w:rsidRPr="00B34A20" w:rsidRDefault="00B34A20" w:rsidP="00B34A20">
                  <w:pPr>
                    <w:shd w:val="clear" w:color="auto" w:fill="FFFFFF"/>
                    <w:spacing w:after="0" w:line="336" w:lineRule="atLeast"/>
                    <w:rPr>
                      <w:rFonts w:ascii="Arial" w:eastAsia="Times New Roman" w:hAnsi="Arial" w:cs="Arial"/>
                      <w:color w:val="939393"/>
                      <w:sz w:val="36"/>
                      <w:szCs w:val="36"/>
                      <w:lang w:val="en"/>
                    </w:rPr>
                  </w:pPr>
                  <w:r w:rsidRPr="00B34A20">
                    <w:rPr>
                      <w:rFonts w:ascii="Arial" w:eastAsia="Times New Roman" w:hAnsi="Arial" w:cs="Arial"/>
                      <w:color w:val="939393"/>
                      <w:sz w:val="36"/>
                      <w:szCs w:val="36"/>
                      <w:lang w:val="en"/>
                    </w:rPr>
                    <w:t>Nevada Department of Health and Human Services</w:t>
                  </w:r>
                </w:p>
                <w:p w14:paraId="53E87214" w14:textId="77777777" w:rsidR="0001065E" w:rsidRPr="00B34A20" w:rsidRDefault="00B34A20" w:rsidP="00B34A20">
                  <w:pPr>
                    <w:shd w:val="clear" w:color="auto" w:fill="FFFFFF"/>
                    <w:spacing w:after="0" w:line="312" w:lineRule="atLeast"/>
                    <w:rPr>
                      <w:rFonts w:ascii="Arial" w:eastAsia="Times New Roman" w:hAnsi="Arial" w:cs="Arial"/>
                      <w:color w:val="3A3A3A"/>
                      <w:sz w:val="48"/>
                      <w:szCs w:val="48"/>
                      <w:lang w:val="en"/>
                    </w:rPr>
                  </w:pPr>
                  <w:r w:rsidRPr="00B34A20">
                    <w:rPr>
                      <w:rFonts w:ascii="Arial" w:eastAsia="Times New Roman" w:hAnsi="Arial" w:cs="Arial"/>
                      <w:color w:val="3A3A3A"/>
                      <w:sz w:val="48"/>
                      <w:szCs w:val="48"/>
                      <w:lang w:val="en"/>
                    </w:rPr>
                    <w:t>Division of Health Care Financing and Policy</w:t>
                  </w:r>
                </w:p>
                <w:sdt>
                  <w:sdtPr>
                    <w:rPr>
                      <w:b/>
                      <w:sz w:val="44"/>
                      <w:szCs w:val="4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176D5491" w14:textId="77777777" w:rsidR="0001065E" w:rsidRDefault="00591E88" w:rsidP="00B34A20">
                      <w:pPr>
                        <w:pStyle w:val="Subtitle"/>
                        <w:jc w:val="left"/>
                      </w:pPr>
                      <w:r>
                        <w:rPr>
                          <w:b/>
                          <w:sz w:val="44"/>
                          <w:szCs w:val="44"/>
                        </w:rPr>
                        <w:t>Pharmacy/DME Program MONTHLY News</w:t>
                      </w:r>
                    </w:p>
                  </w:sdtContent>
                </w:sdt>
              </w:tc>
            </w:tr>
            <w:tr w:rsidR="0001065E" w14:paraId="3B72A25F" w14:textId="77777777" w:rsidTr="00B34A20">
              <w:trPr>
                <w:trHeight w:val="3312"/>
              </w:trPr>
              <w:tc>
                <w:tcPr>
                  <w:tcW w:w="5000" w:type="pct"/>
                  <w:shd w:val="clear" w:color="auto" w:fill="0070C0"/>
                  <w:vAlign w:val="bottom"/>
                </w:tcPr>
                <w:p w14:paraId="5B648C99" w14:textId="77777777" w:rsidR="0001065E" w:rsidRDefault="00F90F19">
                  <w:pPr>
                    <w:pStyle w:val="Subtitle"/>
                  </w:pPr>
                  <w:sdt>
                    <w:sdtPr>
                      <w:alias w:val="Issue Date"/>
                      <w:tag w:val="Issue Date"/>
                      <w:id w:val="-191461034"/>
                      <w:placeholder>
                        <w:docPart w:val="F69B4CF7C1B948DC90B1C2DCBEE23851"/>
                      </w:placeholder>
                      <w:temporary/>
                      <w:showingPlcHdr/>
                    </w:sdtPr>
                    <w:sdtEndPr/>
                    <w:sdtContent>
                      <w:r w:rsidR="00797CD0">
                        <w:t>Issue Date</w:t>
                      </w:r>
                    </w:sdtContent>
                  </w:sdt>
                </w:p>
              </w:tc>
            </w:tr>
          </w:tbl>
          <w:p w14:paraId="37CBF9B8" w14:textId="77777777" w:rsidR="0001065E" w:rsidRDefault="0001065E">
            <w:pPr>
              <w:pStyle w:val="Subtitle"/>
            </w:pPr>
          </w:p>
        </w:tc>
      </w:tr>
      <w:tr w:rsidR="0001065E" w14:paraId="5AC63BA1" w14:textId="77777777">
        <w:trPr>
          <w:cantSplit/>
          <w:trHeight w:hRule="exact" w:val="72"/>
          <w:jc w:val="center"/>
        </w:trPr>
        <w:tc>
          <w:tcPr>
            <w:tcW w:w="7660" w:type="dxa"/>
            <w:tcBorders>
              <w:top w:val="single" w:sz="4" w:space="0" w:color="FFFFFF" w:themeColor="background1"/>
            </w:tcBorders>
          </w:tcPr>
          <w:p w14:paraId="22EE69DF" w14:textId="77777777" w:rsidR="0001065E" w:rsidRDefault="0001065E">
            <w:pPr>
              <w:pStyle w:val="NoSpacing"/>
            </w:pPr>
          </w:p>
        </w:tc>
        <w:tc>
          <w:tcPr>
            <w:tcW w:w="71" w:type="dxa"/>
          </w:tcPr>
          <w:p w14:paraId="2F6066B5" w14:textId="77777777" w:rsidR="0001065E" w:rsidRDefault="0001065E">
            <w:pPr>
              <w:pStyle w:val="NoSpacing"/>
            </w:pPr>
          </w:p>
        </w:tc>
        <w:tc>
          <w:tcPr>
            <w:tcW w:w="3789" w:type="dxa"/>
            <w:tcBorders>
              <w:top w:val="single" w:sz="4" w:space="0" w:color="FFFFFF" w:themeColor="background1"/>
            </w:tcBorders>
          </w:tcPr>
          <w:p w14:paraId="2050E74D" w14:textId="77777777" w:rsidR="0001065E" w:rsidRDefault="0001065E">
            <w:pPr>
              <w:pStyle w:val="NoSpacing"/>
            </w:pPr>
          </w:p>
        </w:tc>
      </w:tr>
      <w:tr w:rsidR="0001065E" w14:paraId="27190F0D" w14:textId="77777777">
        <w:trPr>
          <w:cantSplit/>
          <w:trHeight w:val="360"/>
          <w:jc w:val="center"/>
        </w:trPr>
        <w:tc>
          <w:tcPr>
            <w:tcW w:w="7660" w:type="dxa"/>
            <w:shd w:val="clear" w:color="auto" w:fill="FFA830" w:themeFill="accent2"/>
            <w:tcMar>
              <w:left w:w="0" w:type="dxa"/>
              <w:right w:w="115" w:type="dxa"/>
            </w:tcMar>
            <w:vAlign w:val="center"/>
          </w:tcPr>
          <w:p w14:paraId="01EA7459" w14:textId="77777777" w:rsidR="0001065E" w:rsidRDefault="00591E88" w:rsidP="00F84763">
            <w:pPr>
              <w:pStyle w:val="Heading4"/>
              <w:jc w:val="both"/>
              <w:outlineLvl w:val="3"/>
            </w:pPr>
            <w:r>
              <w:t>PHARMACY AND dme IN THE NEWS</w:t>
            </w:r>
            <w:r w:rsidR="006B4D27">
              <w:t xml:space="preserve">                                                                                       SEPTEMBER </w:t>
            </w:r>
            <w:r w:rsidR="006B4D27" w:rsidRPr="00F84763">
              <w:rPr>
                <w:sz w:val="22"/>
              </w:rPr>
              <w:t>2018</w:t>
            </w:r>
          </w:p>
        </w:tc>
        <w:tc>
          <w:tcPr>
            <w:tcW w:w="71" w:type="dxa"/>
            <w:tcMar>
              <w:left w:w="0" w:type="dxa"/>
              <w:right w:w="0" w:type="dxa"/>
            </w:tcMar>
            <w:vAlign w:val="center"/>
          </w:tcPr>
          <w:p w14:paraId="1A7E1A2E"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72BF11C1" w14:textId="77777777" w:rsidR="0001065E" w:rsidRDefault="0001065E">
            <w:pPr>
              <w:pStyle w:val="Heading4"/>
              <w:outlineLvl w:val="3"/>
            </w:pPr>
          </w:p>
        </w:tc>
      </w:tr>
    </w:tbl>
    <w:p w14:paraId="07633BF8" w14:textId="77777777" w:rsidR="0001065E" w:rsidRDefault="00FD1B24">
      <w:pPr>
        <w:sectPr w:rsidR="0001065E">
          <w:headerReference w:type="default" r:id="rId13"/>
          <w:headerReference w:type="first" r:id="rId14"/>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14:anchorId="5B5FC699" wp14:editId="0452B01B">
                <wp:simplePos x="0" y="0"/>
                <wp:positionH relativeFrom="margin">
                  <wp:align>left</wp:align>
                </wp:positionH>
                <wp:positionV relativeFrom="page">
                  <wp:posOffset>4276725</wp:posOffset>
                </wp:positionV>
                <wp:extent cx="4524375" cy="8191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80A85" w14:textId="77777777" w:rsidR="0001065E" w:rsidRDefault="00875C3D" w:rsidP="00FD1B24">
                            <w:pPr>
                              <w:pStyle w:val="Heading1"/>
                            </w:pPr>
                            <w:r>
                              <w:t>Pharmacy/DME in the News</w:t>
                            </w:r>
                          </w:p>
                          <w:p w14:paraId="1258485E" w14:textId="77777777" w:rsidR="007A1FAC" w:rsidRPr="007A1FAC" w:rsidRDefault="007A1FAC" w:rsidP="007A1FAC"/>
                          <w:p w14:paraId="5FDCEC87" w14:textId="77777777" w:rsidR="007A1FAC" w:rsidRDefault="007A1FAC" w:rsidP="007A1FAC"/>
                          <w:p w14:paraId="396AED18" w14:textId="77777777" w:rsidR="007A1FAC" w:rsidRDefault="007A1FAC" w:rsidP="007A1FAC"/>
                          <w:p w14:paraId="56167F0B" w14:textId="77777777" w:rsidR="007A1FAC" w:rsidRPr="007A1FAC" w:rsidRDefault="007A1FAC" w:rsidP="007A1FA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FC699" id="_x0000_t202" coordsize="21600,21600" o:spt="202" path="m,l,21600r21600,l21600,xe">
                <v:stroke joinstyle="miter"/>
                <v:path gradientshapeok="t" o:connecttype="rect"/>
              </v:shapetype>
              <v:shape id="Text Box 5" o:spid="_x0000_s1026" type="#_x0000_t202" style="position:absolute;margin-left:0;margin-top:336.75pt;width:356.25pt;height:6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" o:allowincell="f" filled="f" stroked="f" strokeweight=".5pt">
                <v:textbox inset="0,0,0,0">
                  <w:txbxContent>
                    <w:p w14:paraId="01180A85" w14:textId="77777777" w:rsidR="0001065E" w:rsidRDefault="00875C3D" w:rsidP="00FD1B24">
                      <w:pPr>
                        <w:pStyle w:val="Heading1"/>
                      </w:pPr>
                      <w:r>
                        <w:t>Pharmacy/DME in the News</w:t>
                      </w:r>
                    </w:p>
                    <w:p w14:paraId="1258485E" w14:textId="77777777" w:rsidR="007A1FAC" w:rsidRPr="007A1FAC" w:rsidRDefault="007A1FAC" w:rsidP="007A1FAC"/>
                    <w:p w14:paraId="5FDCEC87" w14:textId="77777777" w:rsidR="007A1FAC" w:rsidRDefault="007A1FAC" w:rsidP="007A1FAC"/>
                    <w:p w14:paraId="396AED18" w14:textId="77777777" w:rsidR="007A1FAC" w:rsidRDefault="007A1FAC" w:rsidP="007A1FAC"/>
                    <w:p w14:paraId="56167F0B" w14:textId="77777777" w:rsidR="007A1FAC" w:rsidRPr="007A1FAC" w:rsidRDefault="007A1FAC" w:rsidP="007A1FAC"/>
                  </w:txbxContent>
                </v:textbox>
                <w10:wrap type="square" anchorx="margin" anchory="page"/>
              </v:shape>
            </w:pict>
          </mc:Fallback>
        </mc:AlternateContent>
      </w:r>
    </w:p>
    <w:p w14:paraId="05004F32" w14:textId="77777777" w:rsidR="00686B32" w:rsidRDefault="00686B32" w:rsidP="00686B32">
      <w:pPr>
        <w:rPr>
          <w:color w:val="auto"/>
        </w:rPr>
      </w:pPr>
      <w:r w:rsidRPr="00686B32">
        <w:rPr>
          <w:b/>
          <w:color w:val="4684D0" w:themeColor="accent5"/>
        </w:rPr>
        <w:t>OHIO PUSHES FOR INFO ON HOW PHARMACY MIDDLEMEN SPEND $2.5 BILLION</w:t>
      </w:r>
      <w:r>
        <w:rPr>
          <w:b/>
          <w:color w:val="4684D0" w:themeColor="accent5"/>
        </w:rPr>
        <w:t xml:space="preserve"> </w:t>
      </w:r>
      <w:r>
        <w:rPr>
          <w:b/>
          <w:color w:val="auto"/>
        </w:rPr>
        <w:t xml:space="preserve">- </w:t>
      </w:r>
      <w:r w:rsidRPr="00686B32">
        <w:rPr>
          <w:color w:val="auto"/>
        </w:rPr>
        <w:t>Ohioans could soon be getting an unprecedented look into how $2.5 billion in annual taxpayer money gets spent on Medicaid pharmacy benefits.</w:t>
      </w:r>
    </w:p>
    <w:p w14:paraId="77EAEA2E" w14:textId="77777777" w:rsidR="00FD1B24" w:rsidRDefault="00FD1B24" w:rsidP="00686B32">
      <w:pPr>
        <w:rPr>
          <w:color w:val="auto"/>
          <w:lang w:val="en"/>
        </w:rPr>
      </w:pPr>
      <w:r w:rsidRPr="00FD1B24">
        <w:rPr>
          <w:color w:val="auto"/>
          <w:lang w:val="en"/>
        </w:rPr>
        <w:t>Ohio Medicaid paid two companies $2.5 billion for prescription drugs. Those companies - CVS Health and Optum - paid pharmacies just $2.3 billion for the same medications. And they pocketed the remaining 224 million, which was about 8.8 percent of Medicaid's total prescription drug spending.</w:t>
      </w:r>
    </w:p>
    <w:p w14:paraId="0A26EFAF" w14:textId="77777777" w:rsidR="00FD1B24" w:rsidRDefault="00FD1B24" w:rsidP="00686B32">
      <w:pPr>
        <w:rPr>
          <w:color w:val="auto"/>
          <w:lang w:val="en"/>
        </w:rPr>
      </w:pPr>
      <w:r w:rsidRPr="00FD1B24">
        <w:rPr>
          <w:color w:val="auto"/>
          <w:lang w:val="en"/>
        </w:rPr>
        <w:t>The attorney general and the state auditor are both investigating. Ohio Medicaid wants to release a detailed report on the program, but CVS Health and Optum went to court to block the release, saying the report contains trade secrets. If the analysis is released, it'll offer an unprecedented window into the opaque world of drug pricing.</w:t>
      </w:r>
    </w:p>
    <w:p w14:paraId="12C5C18D" w14:textId="77777777" w:rsidR="00FD1B24" w:rsidRPr="00FD1B24" w:rsidRDefault="00FD1B24" w:rsidP="00686B32">
      <w:pPr>
        <w:rPr>
          <w:color w:val="auto"/>
          <w:lang w:val="en"/>
        </w:rPr>
      </w:pPr>
      <w:r w:rsidRPr="00FD1B24">
        <w:rPr>
          <w:color w:val="auto"/>
          <w:lang w:val="en"/>
        </w:rPr>
        <w:t>Ohio isn't alone in questioning the value of the middleman. West Virginia last year stopped using pharmacy benefit managers altogether, and Kentucky is also doing an analysis of its costs. In Iowa, State Representative John Forbes, who's also a pharmacist, launched his own investigation a few months ago after hearing complaints.</w:t>
      </w:r>
      <w:r w:rsidRPr="00FD1B24">
        <w:rPr>
          <w:rFonts w:ascii="Arnhem" w:hAnsi="Arnhem"/>
          <w:color w:val="343C40"/>
          <w:sz w:val="29"/>
          <w:szCs w:val="29"/>
          <w:lang w:val="en"/>
        </w:rPr>
        <w:t xml:space="preserve"> </w:t>
      </w:r>
      <w:r w:rsidRPr="00FD1B24">
        <w:rPr>
          <w:color w:val="auto"/>
          <w:lang w:val="en"/>
        </w:rPr>
        <w:t>Forbes says the oversight committee in Iowa's legislature now plans to investigate as well.</w:t>
      </w:r>
    </w:p>
    <w:p w14:paraId="479F01CF" w14:textId="77777777" w:rsidR="00591E88" w:rsidRDefault="00591E88" w:rsidP="00686B32">
      <w:pPr>
        <w:rPr>
          <w:b/>
          <w:color w:val="4684D0" w:themeColor="accent5"/>
        </w:rPr>
      </w:pPr>
      <w:r w:rsidRPr="00591E88">
        <w:rPr>
          <w:noProof/>
        </w:rPr>
        <w:drawing>
          <wp:inline distT="0" distB="0" distL="0" distR="0" wp14:anchorId="733AAB16" wp14:editId="2CC25C6F">
            <wp:extent cx="2133600" cy="118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3600" cy="1184275"/>
                    </a:xfrm>
                    <a:prstGeom prst="rect">
                      <a:avLst/>
                    </a:prstGeom>
                  </pic:spPr>
                </pic:pic>
              </a:graphicData>
            </a:graphic>
          </wp:inline>
        </w:drawing>
      </w:r>
    </w:p>
    <w:p w14:paraId="3A1535E5" w14:textId="77777777" w:rsidR="005139D2" w:rsidRDefault="005139D2" w:rsidP="00686B32">
      <w:pPr>
        <w:rPr>
          <w:color w:val="auto"/>
        </w:rPr>
      </w:pPr>
      <w:r w:rsidRPr="005139D2">
        <w:rPr>
          <w:b/>
          <w:color w:val="4684D0" w:themeColor="accent5"/>
        </w:rPr>
        <w:t>AMAZON BUYS ONLINE PHARMACY PILLPACK</w:t>
      </w:r>
      <w:r>
        <w:rPr>
          <w:b/>
          <w:color w:val="4684D0" w:themeColor="accent5"/>
        </w:rPr>
        <w:t xml:space="preserve"> </w:t>
      </w:r>
      <w:r>
        <w:rPr>
          <w:b/>
          <w:color w:val="auto"/>
        </w:rPr>
        <w:t xml:space="preserve">- </w:t>
      </w:r>
      <w:r w:rsidRPr="005139D2">
        <w:rPr>
          <w:color w:val="auto"/>
        </w:rPr>
        <w:t>PillPack has pharmacy licenses in all 50 states. The company delivers medications to customers in pre-sorted doses designed to make it easier for people to take multiple medications a day.</w:t>
      </w:r>
    </w:p>
    <w:p w14:paraId="5AC167E8" w14:textId="77777777" w:rsidR="005139D2" w:rsidRPr="005139D2" w:rsidRDefault="005139D2" w:rsidP="005139D2">
      <w:pPr>
        <w:rPr>
          <w:color w:val="auto"/>
        </w:rPr>
      </w:pPr>
      <w:r w:rsidRPr="005139D2">
        <w:rPr>
          <w:color w:val="auto"/>
        </w:rPr>
        <w:t>It's not clear yet just what Amazon plans for PillPack. Will it eventually merge it into a broader health care platform on Amazon or keep it independent as it has done with other subsidiaries like shoe retailer Zappos and video site Twitch?</w:t>
      </w:r>
      <w:r w:rsidRPr="005139D2">
        <w:rPr>
          <w:rFonts w:ascii="CNN" w:eastAsia="Times New Roman" w:hAnsi="CNN" w:cs="Times New Roman"/>
          <w:color w:val="auto"/>
          <w:sz w:val="27"/>
          <w:szCs w:val="27"/>
        </w:rPr>
        <w:t xml:space="preserve"> </w:t>
      </w:r>
      <w:r w:rsidRPr="005139D2">
        <w:rPr>
          <w:color w:val="auto"/>
        </w:rPr>
        <w:t xml:space="preserve">The fact that PillPack is already licensed to sell prescriptions may persuade Amazon to keep it independent. </w:t>
      </w:r>
    </w:p>
    <w:p w14:paraId="48BC27B1" w14:textId="77777777" w:rsidR="005139D2" w:rsidRDefault="005139D2" w:rsidP="005139D2">
      <w:pPr>
        <w:rPr>
          <w:color w:val="auto"/>
        </w:rPr>
      </w:pPr>
      <w:r>
        <w:rPr>
          <w:color w:val="auto"/>
        </w:rPr>
        <w:t>T</w:t>
      </w:r>
      <w:r w:rsidRPr="005139D2">
        <w:rPr>
          <w:color w:val="auto"/>
        </w:rPr>
        <w:t>he deal was subject to so</w:t>
      </w:r>
      <w:r>
        <w:rPr>
          <w:color w:val="auto"/>
        </w:rPr>
        <w:t>me regulatory approvals and</w:t>
      </w:r>
      <w:r w:rsidRPr="005139D2">
        <w:rPr>
          <w:color w:val="auto"/>
        </w:rPr>
        <w:t xml:space="preserve"> the companies hope to close </w:t>
      </w:r>
      <w:r w:rsidRPr="005139D2">
        <w:rPr>
          <w:color w:val="auto"/>
        </w:rPr>
        <w:t xml:space="preserve">the transaction during the second half of this year. The PillPack acquisition comes just a week after CVS announced it will </w:t>
      </w:r>
      <w:hyperlink r:id="rId16" w:history="1">
        <w:r w:rsidRPr="005139D2">
          <w:rPr>
            <w:rStyle w:val="Hyperlink"/>
          </w:rPr>
          <w:t>start delivering prescriptions</w:t>
        </w:r>
      </w:hyperlink>
      <w:r w:rsidRPr="005139D2">
        <w:rPr>
          <w:color w:val="auto"/>
        </w:rPr>
        <w:t xml:space="preserve"> to people's homes — a response to growing competition from PillPack and Capsule, another online pharmacy startup.</w:t>
      </w:r>
    </w:p>
    <w:p w14:paraId="754B872A" w14:textId="77777777" w:rsidR="005139D2" w:rsidRDefault="005139D2" w:rsidP="005139D2">
      <w:pPr>
        <w:rPr>
          <w:color w:val="auto"/>
        </w:rPr>
      </w:pPr>
      <w:r w:rsidRPr="005139D2">
        <w:rPr>
          <w:color w:val="auto"/>
        </w:rPr>
        <w:t>The health care industry is also in the midst of merger mania. CVS is buying insurer Aetna while Cigna (</w:t>
      </w:r>
      <w:hyperlink r:id="rId17" w:history="1">
        <w:r w:rsidRPr="005139D2">
          <w:rPr>
            <w:rStyle w:val="Hyperlink"/>
          </w:rPr>
          <w:t>CI</w:t>
        </w:r>
      </w:hyperlink>
      <w:r w:rsidRPr="005139D2">
        <w:rPr>
          <w:color w:val="auto"/>
        </w:rPr>
        <w:t>), another insurer, is scooping up pharmacy benefits manager Express Scripts (</w:t>
      </w:r>
      <w:hyperlink r:id="rId18" w:history="1">
        <w:r w:rsidRPr="005139D2">
          <w:rPr>
            <w:rStyle w:val="Hyperlink"/>
          </w:rPr>
          <w:t>ESRX</w:t>
        </w:r>
      </w:hyperlink>
      <w:r w:rsidRPr="005139D2">
        <w:rPr>
          <w:color w:val="auto"/>
        </w:rPr>
        <w:t xml:space="preserve">). Both deals are valued at nearly $70 billion. </w:t>
      </w:r>
    </w:p>
    <w:p w14:paraId="6D8D5C9A" w14:textId="77777777" w:rsidR="006053A3" w:rsidRPr="006053A3" w:rsidRDefault="00211317" w:rsidP="006053A3">
      <w:pPr>
        <w:rPr>
          <w:lang w:val="en"/>
        </w:rPr>
      </w:pPr>
      <w:r w:rsidRPr="008506E9">
        <w:rPr>
          <w:b/>
          <w:color w:val="4684D0" w:themeColor="accent5"/>
        </w:rPr>
        <w:t>FDA PUBLIC HEARING: FUTURE FORMAT OF THE NATIONAL DRUG CODE</w:t>
      </w:r>
      <w:r w:rsidR="008506E9">
        <w:rPr>
          <w:b/>
          <w:color w:val="4684D0" w:themeColor="accent5"/>
        </w:rPr>
        <w:t xml:space="preserve"> </w:t>
      </w:r>
      <w:r w:rsidR="008506E9">
        <w:rPr>
          <w:b/>
          <w:color w:val="auto"/>
        </w:rPr>
        <w:t xml:space="preserve">- </w:t>
      </w:r>
      <w:r w:rsidR="008506E9" w:rsidRPr="008506E9">
        <w:rPr>
          <w:lang w:val="en"/>
        </w:rPr>
        <w:t xml:space="preserve">The FDA is holding a </w:t>
      </w:r>
      <w:hyperlink r:id="rId19" w:tgtFrame="_blank" w:history="1">
        <w:r w:rsidR="008506E9" w:rsidRPr="008506E9">
          <w:rPr>
            <w:rStyle w:val="Hyperlink"/>
            <w:lang w:val="en"/>
          </w:rPr>
          <w:t>public hearing</w:t>
        </w:r>
      </w:hyperlink>
      <w:r w:rsidR="008506E9" w:rsidRPr="008506E9">
        <w:rPr>
          <w:lang w:val="en"/>
        </w:rPr>
        <w:t xml:space="preserve"> </w:t>
      </w:r>
      <w:r w:rsidR="008506E9">
        <w:rPr>
          <w:lang w:val="en"/>
        </w:rPr>
        <w:t xml:space="preserve"> November 5, 2018, </w:t>
      </w:r>
      <w:r w:rsidR="008506E9" w:rsidRPr="008506E9">
        <w:rPr>
          <w:lang w:val="en"/>
        </w:rPr>
        <w:t xml:space="preserve">regarding the future format of the </w:t>
      </w:r>
      <w:hyperlink r:id="rId20" w:history="1">
        <w:r w:rsidR="008506E9" w:rsidRPr="008506E9">
          <w:rPr>
            <w:rStyle w:val="Hyperlink"/>
            <w:lang w:val="en"/>
          </w:rPr>
          <w:t>National Drug Code</w:t>
        </w:r>
      </w:hyperlink>
      <w:r w:rsidR="008506E9" w:rsidRPr="008506E9">
        <w:rPr>
          <w:lang w:val="en"/>
        </w:rPr>
        <w:t xml:space="preserve"> (NDC). An NDC is a unique 10-digit, 3-segment identifier which is assigned to all drugs in U.S. commercial distribution. An NDC is proposed by companies and assigned by </w:t>
      </w:r>
      <w:r w:rsidR="006B4D27">
        <w:rPr>
          <w:lang w:val="en"/>
        </w:rPr>
        <w:t xml:space="preserve">the </w:t>
      </w:r>
      <w:r w:rsidR="008506E9" w:rsidRPr="008506E9">
        <w:rPr>
          <w:lang w:val="en"/>
        </w:rPr>
        <w:t xml:space="preserve">FDA through the drug listing process. </w:t>
      </w:r>
      <w:r w:rsidR="006B4D27">
        <w:rPr>
          <w:lang w:val="en"/>
        </w:rPr>
        <w:t xml:space="preserve">The </w:t>
      </w:r>
      <w:r w:rsidR="008506E9" w:rsidRPr="008506E9">
        <w:rPr>
          <w:color w:val="auto"/>
          <w:lang w:val="en"/>
        </w:rPr>
        <w:t xml:space="preserve">FDA recognizes the importance of the NDC in many aspects of health care today and is aware that any change to its format or </w:t>
      </w:r>
      <w:r w:rsidR="006B4D27">
        <w:rPr>
          <w:color w:val="auto"/>
          <w:lang w:val="en"/>
        </w:rPr>
        <w:t xml:space="preserve">code </w:t>
      </w:r>
      <w:r w:rsidR="008506E9" w:rsidRPr="008506E9">
        <w:rPr>
          <w:color w:val="auto"/>
          <w:lang w:val="en"/>
        </w:rPr>
        <w:t xml:space="preserve">length will have an impact on the health system. Recognizing that a change to NDC length and/or format will be necessary when FDA runs out of 5-digit labeler codes, </w:t>
      </w:r>
      <w:r w:rsidR="006B4D27">
        <w:rPr>
          <w:color w:val="auto"/>
          <w:lang w:val="en"/>
        </w:rPr>
        <w:t>the agency</w:t>
      </w:r>
      <w:r w:rsidR="008506E9" w:rsidRPr="008506E9">
        <w:rPr>
          <w:color w:val="auto"/>
          <w:lang w:val="en"/>
        </w:rPr>
        <w:t xml:space="preserve"> is holding th</w:t>
      </w:r>
      <w:r w:rsidR="006B4D27">
        <w:rPr>
          <w:color w:val="auto"/>
          <w:lang w:val="en"/>
        </w:rPr>
        <w:t>e</w:t>
      </w:r>
      <w:r w:rsidR="008506E9" w:rsidRPr="008506E9">
        <w:rPr>
          <w:color w:val="auto"/>
          <w:lang w:val="en"/>
        </w:rPr>
        <w:t xml:space="preserve"> hearing to receive input</w:t>
      </w:r>
      <w:r w:rsidR="008506E9" w:rsidRPr="008506E9">
        <w:rPr>
          <w:b/>
          <w:color w:val="auto"/>
          <w:lang w:val="en"/>
        </w:rPr>
        <w:t xml:space="preserve"> </w:t>
      </w:r>
      <w:r w:rsidR="008506E9" w:rsidRPr="008506E9">
        <w:rPr>
          <w:color w:val="auto"/>
          <w:lang w:val="en"/>
        </w:rPr>
        <w:t>from stakeholders on how to maximize the benefit and minimize this impact well in advance of any forthcoming change</w:t>
      </w:r>
      <w:r w:rsidR="008506E9" w:rsidRPr="008506E9">
        <w:rPr>
          <w:b/>
          <w:color w:val="auto"/>
          <w:lang w:val="en"/>
        </w:rPr>
        <w:t>.</w:t>
      </w:r>
    </w:p>
    <w:p w14:paraId="63267402" w14:textId="77777777" w:rsidR="00842D0A" w:rsidRDefault="00842D0A" w:rsidP="008506E9">
      <w:pPr>
        <w:pStyle w:val="Heading1"/>
        <w:rPr>
          <w:b/>
          <w:color w:val="4684D0" w:themeColor="accent5"/>
          <w:sz w:val="52"/>
          <w:szCs w:val="52"/>
        </w:rPr>
        <w:sectPr w:rsidR="00842D0A" w:rsidSect="006053A3">
          <w:type w:val="continuous"/>
          <w:pgSz w:w="12240" w:h="15840" w:code="1"/>
          <w:pgMar w:top="720" w:right="576" w:bottom="720" w:left="576" w:header="360" w:footer="720" w:gutter="0"/>
          <w:cols w:num="3" w:space="504"/>
          <w:titlePg/>
          <w:docGrid w:linePitch="360"/>
        </w:sectPr>
      </w:pPr>
    </w:p>
    <w:p w14:paraId="553D5880" w14:textId="77777777" w:rsidR="005139D2" w:rsidRPr="00BA0624" w:rsidRDefault="008506E9" w:rsidP="007A1FAC">
      <w:pPr>
        <w:pStyle w:val="Heading1"/>
        <w:jc w:val="center"/>
        <w:rPr>
          <w:b/>
          <w:color w:val="4684D0" w:themeColor="accent5"/>
          <w:sz w:val="36"/>
          <w:szCs w:val="36"/>
        </w:rPr>
      </w:pPr>
      <w:r w:rsidRPr="00BA0624">
        <w:rPr>
          <w:b/>
          <w:color w:val="4684D0" w:themeColor="accent5"/>
          <w:sz w:val="36"/>
          <w:szCs w:val="36"/>
        </w:rPr>
        <w:lastRenderedPageBreak/>
        <w:t>FDA</w:t>
      </w:r>
      <w:r w:rsidR="00F84763">
        <w:rPr>
          <w:b/>
          <w:color w:val="4684D0" w:themeColor="accent5"/>
          <w:sz w:val="36"/>
          <w:szCs w:val="36"/>
        </w:rPr>
        <w:t>-</w:t>
      </w:r>
      <w:r w:rsidRPr="00BA0624">
        <w:rPr>
          <w:b/>
          <w:color w:val="4684D0" w:themeColor="accent5"/>
          <w:sz w:val="36"/>
          <w:szCs w:val="36"/>
        </w:rPr>
        <w:t>APPROVED DRUG PRODUCTS – AUGUST 2018</w:t>
      </w:r>
    </w:p>
    <w:p w14:paraId="2D79164B" w14:textId="77777777" w:rsidR="00842D0A" w:rsidRDefault="00BA0624" w:rsidP="00842D0A">
      <w:r w:rsidRPr="00BA0624">
        <w:rPr>
          <w:noProof/>
          <w:sz w:val="36"/>
          <w:szCs w:val="36"/>
        </w:rPr>
        <w:drawing>
          <wp:anchor distT="0" distB="45720" distL="114300" distR="114300" simplePos="0" relativeHeight="251658240" behindDoc="0" locked="0" layoutInCell="0" allowOverlap="1" wp14:anchorId="3760E877" wp14:editId="1BC2E46A">
            <wp:simplePos x="0" y="0"/>
            <wp:positionH relativeFrom="margin">
              <wp:posOffset>1973580</wp:posOffset>
            </wp:positionH>
            <wp:positionV relativeFrom="margin">
              <wp:posOffset>861695</wp:posOffset>
            </wp:positionV>
            <wp:extent cx="3072765" cy="2345055"/>
            <wp:effectExtent l="209550" t="285750" r="260985" b="3981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1">
                      <a:extLst>
                        <a:ext uri="{28A0092B-C50C-407E-A947-70E740481C1C}">
                          <a14:useLocalDpi xmlns:a14="http://schemas.microsoft.com/office/drawing/2010/main" val="0"/>
                        </a:ext>
                      </a:extLst>
                    </a:blip>
                    <a:stretch>
                      <a:fillRect/>
                    </a:stretch>
                  </pic:blipFill>
                  <pic:spPr>
                    <a:xfrm rot="698513">
                      <a:off x="0" y="0"/>
                      <a:ext cx="3072765" cy="234505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19591563" w14:textId="77777777" w:rsidR="00842D0A" w:rsidRDefault="00842D0A" w:rsidP="00842D0A"/>
    <w:p w14:paraId="09963E26" w14:textId="77777777" w:rsidR="00842D0A" w:rsidRDefault="00842D0A" w:rsidP="00842D0A"/>
    <w:p w14:paraId="63DB00B5" w14:textId="77777777" w:rsidR="00842D0A" w:rsidRDefault="00842D0A" w:rsidP="00842D0A"/>
    <w:p w14:paraId="63B715D7" w14:textId="77777777" w:rsidR="00842D0A" w:rsidRDefault="00842D0A" w:rsidP="00842D0A"/>
    <w:p w14:paraId="01CDBD24" w14:textId="77777777" w:rsidR="00842D0A" w:rsidRDefault="00842D0A" w:rsidP="00842D0A"/>
    <w:p w14:paraId="4CDDADFF" w14:textId="77777777" w:rsidR="00842D0A" w:rsidRDefault="00842D0A" w:rsidP="00842D0A"/>
    <w:p w14:paraId="6F68F803" w14:textId="77777777" w:rsidR="00842D0A" w:rsidRDefault="00842D0A" w:rsidP="00842D0A"/>
    <w:p w14:paraId="28FF7CE8" w14:textId="77777777" w:rsidR="00842D0A" w:rsidRDefault="00842D0A" w:rsidP="00842D0A"/>
    <w:p w14:paraId="6C67A6D2" w14:textId="77777777" w:rsidR="00842D0A" w:rsidRDefault="00842D0A" w:rsidP="00842D0A"/>
    <w:tbl>
      <w:tblPr>
        <w:tblStyle w:val="TableGrid"/>
        <w:tblpPr w:leftFromText="180" w:rightFromText="180" w:vertAnchor="text" w:horzAnchor="margin" w:tblpXSpec="center" w:tblpY="514"/>
        <w:tblW w:w="11507" w:type="dxa"/>
        <w:tblLook w:val="04A0" w:firstRow="1" w:lastRow="0" w:firstColumn="1" w:lastColumn="0" w:noHBand="0" w:noVBand="1"/>
      </w:tblPr>
      <w:tblGrid>
        <w:gridCol w:w="1274"/>
        <w:gridCol w:w="1923"/>
        <w:gridCol w:w="2393"/>
        <w:gridCol w:w="2689"/>
        <w:gridCol w:w="3228"/>
      </w:tblGrid>
      <w:tr w:rsidR="001B56EA" w14:paraId="77F77D36" w14:textId="77777777" w:rsidTr="001B56EA">
        <w:trPr>
          <w:trHeight w:val="340"/>
        </w:trPr>
        <w:tc>
          <w:tcPr>
            <w:tcW w:w="1274" w:type="dxa"/>
          </w:tcPr>
          <w:p w14:paraId="5F77BE9F" w14:textId="77777777" w:rsidR="001B56EA" w:rsidRPr="00BA0624" w:rsidRDefault="001B56EA" w:rsidP="001B56EA">
            <w:pPr>
              <w:jc w:val="center"/>
              <w:rPr>
                <w:b/>
                <w:color w:val="4684D0" w:themeColor="accent5"/>
                <w:sz w:val="16"/>
                <w:szCs w:val="16"/>
              </w:rPr>
            </w:pPr>
            <w:r w:rsidRPr="00BA0624">
              <w:rPr>
                <w:b/>
                <w:color w:val="4684D0" w:themeColor="accent5"/>
                <w:sz w:val="16"/>
                <w:szCs w:val="16"/>
              </w:rPr>
              <w:t>APPROVAL DATE</w:t>
            </w:r>
          </w:p>
        </w:tc>
        <w:tc>
          <w:tcPr>
            <w:tcW w:w="1923" w:type="dxa"/>
          </w:tcPr>
          <w:p w14:paraId="0FD8CF2D" w14:textId="77777777" w:rsidR="001B56EA" w:rsidRPr="00BA0624" w:rsidRDefault="001B56EA" w:rsidP="001B56EA">
            <w:pPr>
              <w:jc w:val="center"/>
              <w:rPr>
                <w:b/>
                <w:color w:val="4684D0" w:themeColor="accent5"/>
                <w:sz w:val="16"/>
                <w:szCs w:val="16"/>
              </w:rPr>
            </w:pPr>
            <w:r w:rsidRPr="00BA0624">
              <w:rPr>
                <w:b/>
                <w:color w:val="4684D0" w:themeColor="accent5"/>
                <w:sz w:val="16"/>
                <w:szCs w:val="16"/>
              </w:rPr>
              <w:t>DRUG NAME</w:t>
            </w:r>
          </w:p>
        </w:tc>
        <w:tc>
          <w:tcPr>
            <w:tcW w:w="2393" w:type="dxa"/>
          </w:tcPr>
          <w:p w14:paraId="0B90BD07" w14:textId="77777777" w:rsidR="001B56EA" w:rsidRPr="00BA0624" w:rsidRDefault="001B56EA" w:rsidP="001B56EA">
            <w:pPr>
              <w:jc w:val="center"/>
              <w:rPr>
                <w:b/>
                <w:color w:val="4684D0" w:themeColor="accent5"/>
                <w:sz w:val="16"/>
                <w:szCs w:val="16"/>
              </w:rPr>
            </w:pPr>
            <w:r w:rsidRPr="00BA0624">
              <w:rPr>
                <w:b/>
                <w:color w:val="4684D0" w:themeColor="accent5"/>
                <w:sz w:val="16"/>
                <w:szCs w:val="16"/>
              </w:rPr>
              <w:t>ACTIVE INGREDIENTS</w:t>
            </w:r>
          </w:p>
        </w:tc>
        <w:tc>
          <w:tcPr>
            <w:tcW w:w="2689" w:type="dxa"/>
          </w:tcPr>
          <w:p w14:paraId="4AB07A8D" w14:textId="77777777" w:rsidR="001B56EA" w:rsidRPr="00BA0624" w:rsidRDefault="001B56EA" w:rsidP="001B56EA">
            <w:pPr>
              <w:jc w:val="center"/>
              <w:rPr>
                <w:b/>
                <w:color w:val="4684D0" w:themeColor="accent5"/>
                <w:sz w:val="16"/>
                <w:szCs w:val="16"/>
              </w:rPr>
            </w:pPr>
            <w:r w:rsidRPr="00BA0624">
              <w:rPr>
                <w:b/>
                <w:color w:val="4684D0" w:themeColor="accent5"/>
                <w:sz w:val="16"/>
                <w:szCs w:val="16"/>
              </w:rPr>
              <w:t>SUBMISSION CLASSIFICATION</w:t>
            </w:r>
          </w:p>
        </w:tc>
        <w:tc>
          <w:tcPr>
            <w:tcW w:w="3228" w:type="dxa"/>
          </w:tcPr>
          <w:p w14:paraId="6F5A5839" w14:textId="77777777" w:rsidR="001B56EA" w:rsidRPr="00BA0624" w:rsidRDefault="001B56EA" w:rsidP="001B56EA">
            <w:pPr>
              <w:jc w:val="center"/>
              <w:rPr>
                <w:b/>
                <w:color w:val="4684D0" w:themeColor="accent5"/>
                <w:sz w:val="16"/>
                <w:szCs w:val="16"/>
              </w:rPr>
            </w:pPr>
            <w:r w:rsidRPr="00BA0624">
              <w:rPr>
                <w:b/>
                <w:color w:val="4684D0" w:themeColor="accent5"/>
                <w:sz w:val="16"/>
                <w:szCs w:val="16"/>
              </w:rPr>
              <w:t>INDICATION</w:t>
            </w:r>
          </w:p>
        </w:tc>
      </w:tr>
      <w:tr w:rsidR="001B56EA" w14:paraId="74937FBC" w14:textId="77777777" w:rsidTr="001B56EA">
        <w:trPr>
          <w:trHeight w:val="751"/>
        </w:trPr>
        <w:tc>
          <w:tcPr>
            <w:tcW w:w="1274" w:type="dxa"/>
          </w:tcPr>
          <w:p w14:paraId="6C8B8038" w14:textId="77777777" w:rsidR="001B56EA" w:rsidRPr="00D53C5E" w:rsidRDefault="001B56EA" w:rsidP="001B56EA">
            <w:pPr>
              <w:rPr>
                <w:sz w:val="12"/>
                <w:szCs w:val="12"/>
              </w:rPr>
            </w:pPr>
            <w:r w:rsidRPr="00D53C5E">
              <w:rPr>
                <w:sz w:val="12"/>
                <w:szCs w:val="12"/>
              </w:rPr>
              <w:t>8/7/2018</w:t>
            </w:r>
          </w:p>
        </w:tc>
        <w:tc>
          <w:tcPr>
            <w:tcW w:w="1923" w:type="dxa"/>
          </w:tcPr>
          <w:p w14:paraId="3EC2CB12" w14:textId="77777777" w:rsidR="001B56EA" w:rsidRPr="00D53C5E" w:rsidRDefault="001B56EA" w:rsidP="001B56EA">
            <w:pPr>
              <w:rPr>
                <w:sz w:val="12"/>
                <w:szCs w:val="12"/>
              </w:rPr>
            </w:pPr>
            <w:r w:rsidRPr="00D53C5E">
              <w:rPr>
                <w:sz w:val="12"/>
                <w:szCs w:val="12"/>
              </w:rPr>
              <w:t>ORKAMBI</w:t>
            </w:r>
          </w:p>
        </w:tc>
        <w:tc>
          <w:tcPr>
            <w:tcW w:w="2393" w:type="dxa"/>
          </w:tcPr>
          <w:p w14:paraId="51F54C93" w14:textId="77777777" w:rsidR="001B56EA" w:rsidRPr="00D53C5E" w:rsidRDefault="001B56EA" w:rsidP="001B56EA">
            <w:pPr>
              <w:rPr>
                <w:sz w:val="12"/>
                <w:szCs w:val="12"/>
              </w:rPr>
            </w:pPr>
            <w:r w:rsidRPr="00D53C5E">
              <w:rPr>
                <w:sz w:val="12"/>
                <w:szCs w:val="12"/>
              </w:rPr>
              <w:t>LUMACAFTOR; IVACAFTOR</w:t>
            </w:r>
          </w:p>
        </w:tc>
        <w:tc>
          <w:tcPr>
            <w:tcW w:w="2689" w:type="dxa"/>
          </w:tcPr>
          <w:p w14:paraId="4A8797D7" w14:textId="77777777" w:rsidR="001B56EA" w:rsidRPr="00D53C5E" w:rsidRDefault="001B56EA" w:rsidP="001B56EA">
            <w:pPr>
              <w:rPr>
                <w:sz w:val="12"/>
                <w:szCs w:val="12"/>
              </w:rPr>
            </w:pPr>
            <w:r>
              <w:rPr>
                <w:sz w:val="12"/>
                <w:szCs w:val="12"/>
              </w:rPr>
              <w:t>TYPE 3 – NEW DOSAGE FORM</w:t>
            </w:r>
          </w:p>
        </w:tc>
        <w:tc>
          <w:tcPr>
            <w:tcW w:w="3228" w:type="dxa"/>
          </w:tcPr>
          <w:p w14:paraId="4ED8F749" w14:textId="77777777" w:rsidR="001B56EA" w:rsidRPr="00D53C5E" w:rsidRDefault="001B56EA" w:rsidP="001B56EA">
            <w:pPr>
              <w:rPr>
                <w:sz w:val="12"/>
                <w:szCs w:val="12"/>
              </w:rPr>
            </w:pPr>
            <w:r w:rsidRPr="00D53C5E">
              <w:rPr>
                <w:sz w:val="12"/>
                <w:szCs w:val="12"/>
              </w:rPr>
              <w:t>FDA HAS EXPANDED THE USE OF CYSTIC FIBROSIS DRUG FOR CHILDREN AS YOUNG AS AGE 2 WHO HAVE TWO COPIES OF THE F508del MUTATION IN THE CF TRANSMEMBRANE CONDUCTANCE REGULATOR (CFTR) GENE.</w:t>
            </w:r>
          </w:p>
        </w:tc>
      </w:tr>
      <w:tr w:rsidR="001B56EA" w14:paraId="7AEE5A03" w14:textId="77777777" w:rsidTr="001B56EA">
        <w:trPr>
          <w:trHeight w:val="996"/>
        </w:trPr>
        <w:tc>
          <w:tcPr>
            <w:tcW w:w="1274" w:type="dxa"/>
          </w:tcPr>
          <w:p w14:paraId="599855CB" w14:textId="77777777" w:rsidR="001B56EA" w:rsidRPr="00D53C5E" w:rsidRDefault="001B56EA" w:rsidP="001B56EA">
            <w:pPr>
              <w:rPr>
                <w:sz w:val="12"/>
                <w:szCs w:val="12"/>
              </w:rPr>
            </w:pPr>
            <w:r w:rsidRPr="00D53C5E">
              <w:rPr>
                <w:sz w:val="12"/>
                <w:szCs w:val="12"/>
              </w:rPr>
              <w:t>8/8/2018</w:t>
            </w:r>
          </w:p>
        </w:tc>
        <w:tc>
          <w:tcPr>
            <w:tcW w:w="1923" w:type="dxa"/>
          </w:tcPr>
          <w:p w14:paraId="44202862" w14:textId="77777777" w:rsidR="001B56EA" w:rsidRPr="00D53C5E" w:rsidRDefault="001B56EA" w:rsidP="001B56EA">
            <w:pPr>
              <w:rPr>
                <w:sz w:val="12"/>
                <w:szCs w:val="12"/>
              </w:rPr>
            </w:pPr>
            <w:r w:rsidRPr="00D53C5E">
              <w:rPr>
                <w:sz w:val="12"/>
                <w:szCs w:val="12"/>
              </w:rPr>
              <w:t>JORNAY PM</w:t>
            </w:r>
          </w:p>
        </w:tc>
        <w:tc>
          <w:tcPr>
            <w:tcW w:w="2393" w:type="dxa"/>
          </w:tcPr>
          <w:p w14:paraId="20BA1710" w14:textId="77777777" w:rsidR="001B56EA" w:rsidRPr="00D53C5E" w:rsidRDefault="001B56EA" w:rsidP="001B56EA">
            <w:pPr>
              <w:rPr>
                <w:sz w:val="12"/>
                <w:szCs w:val="12"/>
              </w:rPr>
            </w:pPr>
            <w:r w:rsidRPr="00D53C5E">
              <w:rPr>
                <w:sz w:val="12"/>
                <w:szCs w:val="12"/>
              </w:rPr>
              <w:t>METHYLPHENIDATE HYDROCHLORIDE</w:t>
            </w:r>
          </w:p>
        </w:tc>
        <w:tc>
          <w:tcPr>
            <w:tcW w:w="2689" w:type="dxa"/>
          </w:tcPr>
          <w:p w14:paraId="1E138407" w14:textId="77777777" w:rsidR="001B56EA" w:rsidRPr="00D53C5E" w:rsidRDefault="001B56EA" w:rsidP="001B56EA">
            <w:pPr>
              <w:rPr>
                <w:sz w:val="12"/>
                <w:szCs w:val="12"/>
              </w:rPr>
            </w:pPr>
            <w:r>
              <w:rPr>
                <w:sz w:val="12"/>
                <w:szCs w:val="12"/>
              </w:rPr>
              <w:t>TYPE 3 – NEW DOSAGE FORM</w:t>
            </w:r>
          </w:p>
        </w:tc>
        <w:tc>
          <w:tcPr>
            <w:tcW w:w="3228" w:type="dxa"/>
          </w:tcPr>
          <w:p w14:paraId="6DBCB165" w14:textId="77777777" w:rsidR="001B56EA" w:rsidRPr="00D53C5E" w:rsidRDefault="001B56EA" w:rsidP="001B56EA">
            <w:pPr>
              <w:rPr>
                <w:sz w:val="12"/>
                <w:szCs w:val="12"/>
              </w:rPr>
            </w:pPr>
            <w:r w:rsidRPr="00D53C5E">
              <w:rPr>
                <w:sz w:val="12"/>
                <w:szCs w:val="12"/>
              </w:rPr>
              <w:t>FIRST ADHD BEDTIME MEDICATION. A NOVEL FORMULATION THAT IS TAKEN IN THE EVENING INSTEAD OF FIRST THING IN THE MORNING TO PROVIDE EARLY MORNING CONTROL OF SYMPTOMS OF ADHD. IT IS THE FIRST DRUG TO UTILIZE THE DRUG DELIVERY PLATFORM, DELEXIS.  FOR AGES 6 AN OLDER.</w:t>
            </w:r>
          </w:p>
        </w:tc>
      </w:tr>
      <w:tr w:rsidR="001B56EA" w14:paraId="715AF2C8" w14:textId="77777777" w:rsidTr="001B56EA">
        <w:trPr>
          <w:trHeight w:val="418"/>
        </w:trPr>
        <w:tc>
          <w:tcPr>
            <w:tcW w:w="1274" w:type="dxa"/>
          </w:tcPr>
          <w:p w14:paraId="25001BB4" w14:textId="77777777" w:rsidR="001B56EA" w:rsidRPr="00D53C5E" w:rsidRDefault="001B56EA" w:rsidP="001B56EA">
            <w:pPr>
              <w:rPr>
                <w:sz w:val="12"/>
                <w:szCs w:val="12"/>
              </w:rPr>
            </w:pPr>
            <w:r w:rsidRPr="00D53C5E">
              <w:rPr>
                <w:sz w:val="12"/>
                <w:szCs w:val="12"/>
              </w:rPr>
              <w:t>8/10/2018</w:t>
            </w:r>
          </w:p>
        </w:tc>
        <w:tc>
          <w:tcPr>
            <w:tcW w:w="1923" w:type="dxa"/>
          </w:tcPr>
          <w:p w14:paraId="1033908D" w14:textId="77777777" w:rsidR="001B56EA" w:rsidRPr="00D53C5E" w:rsidRDefault="001B56EA" w:rsidP="001B56EA">
            <w:pPr>
              <w:rPr>
                <w:sz w:val="12"/>
                <w:szCs w:val="12"/>
              </w:rPr>
            </w:pPr>
            <w:r w:rsidRPr="00D53C5E">
              <w:rPr>
                <w:sz w:val="12"/>
                <w:szCs w:val="12"/>
              </w:rPr>
              <w:t>GALAFOLD</w:t>
            </w:r>
          </w:p>
        </w:tc>
        <w:tc>
          <w:tcPr>
            <w:tcW w:w="2393" w:type="dxa"/>
          </w:tcPr>
          <w:p w14:paraId="253D21A1" w14:textId="77777777" w:rsidR="001B56EA" w:rsidRPr="00D53C5E" w:rsidRDefault="001B56EA" w:rsidP="001B56EA">
            <w:pPr>
              <w:rPr>
                <w:sz w:val="12"/>
                <w:szCs w:val="12"/>
              </w:rPr>
            </w:pPr>
            <w:r w:rsidRPr="00D53C5E">
              <w:rPr>
                <w:sz w:val="12"/>
                <w:szCs w:val="12"/>
              </w:rPr>
              <w:t>MIGALASTAT HYDROCHLORIDE</w:t>
            </w:r>
          </w:p>
        </w:tc>
        <w:tc>
          <w:tcPr>
            <w:tcW w:w="2689" w:type="dxa"/>
          </w:tcPr>
          <w:p w14:paraId="353FDE01" w14:textId="77777777" w:rsidR="001B56EA" w:rsidRPr="00D53C5E" w:rsidRDefault="001B56EA" w:rsidP="001B56EA">
            <w:pPr>
              <w:rPr>
                <w:sz w:val="12"/>
                <w:szCs w:val="12"/>
              </w:rPr>
            </w:pPr>
            <w:r>
              <w:rPr>
                <w:sz w:val="12"/>
                <w:szCs w:val="12"/>
              </w:rPr>
              <w:t>TYPE 1 – NEW MOLECULAR ENTITY</w:t>
            </w:r>
          </w:p>
        </w:tc>
        <w:tc>
          <w:tcPr>
            <w:tcW w:w="3228" w:type="dxa"/>
          </w:tcPr>
          <w:p w14:paraId="6E348EE6" w14:textId="77777777" w:rsidR="001B56EA" w:rsidRPr="00D53C5E" w:rsidRDefault="001B56EA" w:rsidP="001B56EA">
            <w:pPr>
              <w:rPr>
                <w:sz w:val="12"/>
                <w:szCs w:val="12"/>
              </w:rPr>
            </w:pPr>
            <w:r w:rsidRPr="00D53C5E">
              <w:rPr>
                <w:sz w:val="12"/>
                <w:szCs w:val="12"/>
              </w:rPr>
              <w:t>FIRST ORAL MEDICATION FOR FABRY DISEASE. FIRST NEW THERAPY TO TREAT THIS RATE DISEASE IN THE US IN MORE THAN 15 YEARS.</w:t>
            </w:r>
          </w:p>
        </w:tc>
      </w:tr>
      <w:tr w:rsidR="001B56EA" w14:paraId="3087E2DD" w14:textId="77777777" w:rsidTr="001B56EA">
        <w:trPr>
          <w:trHeight w:val="1127"/>
        </w:trPr>
        <w:tc>
          <w:tcPr>
            <w:tcW w:w="1274" w:type="dxa"/>
          </w:tcPr>
          <w:p w14:paraId="4920CBC8" w14:textId="77777777" w:rsidR="001B56EA" w:rsidRPr="00D53C5E" w:rsidRDefault="001B56EA" w:rsidP="001B56EA">
            <w:pPr>
              <w:rPr>
                <w:sz w:val="12"/>
                <w:szCs w:val="12"/>
              </w:rPr>
            </w:pPr>
            <w:r w:rsidRPr="00D53C5E">
              <w:rPr>
                <w:sz w:val="12"/>
                <w:szCs w:val="12"/>
              </w:rPr>
              <w:t>8/10/2018</w:t>
            </w:r>
          </w:p>
        </w:tc>
        <w:tc>
          <w:tcPr>
            <w:tcW w:w="1923" w:type="dxa"/>
          </w:tcPr>
          <w:p w14:paraId="0A368B81" w14:textId="77777777" w:rsidR="001B56EA" w:rsidRPr="00D53C5E" w:rsidRDefault="001B56EA" w:rsidP="001B56EA">
            <w:pPr>
              <w:rPr>
                <w:sz w:val="12"/>
                <w:szCs w:val="12"/>
              </w:rPr>
            </w:pPr>
            <w:r w:rsidRPr="00D53C5E">
              <w:rPr>
                <w:sz w:val="12"/>
                <w:szCs w:val="12"/>
              </w:rPr>
              <w:t>ANNOVERA</w:t>
            </w:r>
          </w:p>
        </w:tc>
        <w:tc>
          <w:tcPr>
            <w:tcW w:w="2393" w:type="dxa"/>
          </w:tcPr>
          <w:p w14:paraId="69929127" w14:textId="77777777" w:rsidR="001B56EA" w:rsidRPr="00D53C5E" w:rsidRDefault="001B56EA" w:rsidP="001B56EA">
            <w:pPr>
              <w:rPr>
                <w:sz w:val="12"/>
                <w:szCs w:val="12"/>
              </w:rPr>
            </w:pPr>
            <w:r w:rsidRPr="00D53C5E">
              <w:rPr>
                <w:sz w:val="12"/>
                <w:szCs w:val="12"/>
              </w:rPr>
              <w:t>SEGESTERONE ACETATE; ETHINYL ESTRADIOL</w:t>
            </w:r>
          </w:p>
        </w:tc>
        <w:tc>
          <w:tcPr>
            <w:tcW w:w="2689" w:type="dxa"/>
          </w:tcPr>
          <w:p w14:paraId="36D77556" w14:textId="77777777" w:rsidR="001B56EA" w:rsidRPr="00D53C5E" w:rsidRDefault="001B56EA" w:rsidP="001B56EA">
            <w:pPr>
              <w:rPr>
                <w:sz w:val="12"/>
                <w:szCs w:val="12"/>
              </w:rPr>
            </w:pPr>
            <w:r>
              <w:rPr>
                <w:sz w:val="12"/>
                <w:szCs w:val="12"/>
              </w:rPr>
              <w:t>TYPE 1 – NEW MOLECULAR ENTITY</w:t>
            </w:r>
          </w:p>
        </w:tc>
        <w:tc>
          <w:tcPr>
            <w:tcW w:w="3228" w:type="dxa"/>
          </w:tcPr>
          <w:p w14:paraId="02BD3ADD" w14:textId="77777777" w:rsidR="001B56EA" w:rsidRPr="00D53C5E" w:rsidRDefault="001B56EA" w:rsidP="001B56EA">
            <w:pPr>
              <w:rPr>
                <w:sz w:val="12"/>
                <w:szCs w:val="12"/>
              </w:rPr>
            </w:pPr>
            <w:r w:rsidRPr="00D53C5E">
              <w:rPr>
                <w:sz w:val="12"/>
                <w:szCs w:val="12"/>
              </w:rPr>
              <w:t>FIRST VAGINAL RING FOR ONE YEAR OF BIRTH CONTROL. ANNOVERA IS A REUSABLE, NONBIODEGRADABLE, FLEXIBLE VAGINAL RING PLACED IN THE VAGINA FOR 3 WEEKS AND THEN REMOVED FOR 1 WEEK DURING WHICH WOMEN EXPERIENCE A MENSTRUAL PERIOD. THE SCHEDULE IS REPEATED EVERY 4 WEEKS FOR 1 YEAR, COVERING 13 MENSTRUAL CYCLES OF 28 DAYS EACH.</w:t>
            </w:r>
          </w:p>
        </w:tc>
      </w:tr>
      <w:tr w:rsidR="001B56EA" w14:paraId="385EFACB" w14:textId="77777777" w:rsidTr="001B56EA">
        <w:trPr>
          <w:trHeight w:val="489"/>
        </w:trPr>
        <w:tc>
          <w:tcPr>
            <w:tcW w:w="1274" w:type="dxa"/>
          </w:tcPr>
          <w:p w14:paraId="68170310" w14:textId="77777777" w:rsidR="001B56EA" w:rsidRPr="00D53C5E" w:rsidRDefault="001B56EA" w:rsidP="001B56EA">
            <w:pPr>
              <w:rPr>
                <w:sz w:val="12"/>
                <w:szCs w:val="12"/>
              </w:rPr>
            </w:pPr>
            <w:r w:rsidRPr="00D53C5E">
              <w:rPr>
                <w:sz w:val="12"/>
                <w:szCs w:val="12"/>
              </w:rPr>
              <w:t>8/10/2018</w:t>
            </w:r>
          </w:p>
        </w:tc>
        <w:tc>
          <w:tcPr>
            <w:tcW w:w="1923" w:type="dxa"/>
          </w:tcPr>
          <w:p w14:paraId="55DD784B" w14:textId="77777777" w:rsidR="001B56EA" w:rsidRPr="00D53C5E" w:rsidRDefault="001B56EA" w:rsidP="001B56EA">
            <w:pPr>
              <w:rPr>
                <w:sz w:val="12"/>
                <w:szCs w:val="12"/>
              </w:rPr>
            </w:pPr>
            <w:r w:rsidRPr="00D53C5E">
              <w:rPr>
                <w:sz w:val="12"/>
                <w:szCs w:val="12"/>
              </w:rPr>
              <w:t>ONPATTRO</w:t>
            </w:r>
          </w:p>
        </w:tc>
        <w:tc>
          <w:tcPr>
            <w:tcW w:w="2393" w:type="dxa"/>
          </w:tcPr>
          <w:p w14:paraId="2C5CBC46" w14:textId="77777777" w:rsidR="001B56EA" w:rsidRPr="00D53C5E" w:rsidRDefault="001B56EA" w:rsidP="001B56EA">
            <w:pPr>
              <w:rPr>
                <w:sz w:val="12"/>
                <w:szCs w:val="12"/>
              </w:rPr>
            </w:pPr>
            <w:r w:rsidRPr="00D53C5E">
              <w:rPr>
                <w:sz w:val="12"/>
                <w:szCs w:val="12"/>
              </w:rPr>
              <w:t>PATISIRAN</w:t>
            </w:r>
          </w:p>
        </w:tc>
        <w:tc>
          <w:tcPr>
            <w:tcW w:w="2689" w:type="dxa"/>
          </w:tcPr>
          <w:p w14:paraId="7CAF99E6" w14:textId="77777777" w:rsidR="001B56EA" w:rsidRPr="00D53C5E" w:rsidRDefault="001B56EA" w:rsidP="001B56EA">
            <w:pPr>
              <w:rPr>
                <w:sz w:val="12"/>
                <w:szCs w:val="12"/>
              </w:rPr>
            </w:pPr>
            <w:r>
              <w:rPr>
                <w:sz w:val="12"/>
                <w:szCs w:val="12"/>
              </w:rPr>
              <w:t>TYPE 1 – NEW MOLECULAR ENTITY</w:t>
            </w:r>
          </w:p>
        </w:tc>
        <w:tc>
          <w:tcPr>
            <w:tcW w:w="3228" w:type="dxa"/>
          </w:tcPr>
          <w:p w14:paraId="77B00FE7" w14:textId="77777777" w:rsidR="001B56EA" w:rsidRPr="00D53C5E" w:rsidRDefault="001B56EA" w:rsidP="001B56EA">
            <w:pPr>
              <w:rPr>
                <w:sz w:val="12"/>
                <w:szCs w:val="12"/>
              </w:rPr>
            </w:pPr>
            <w:r w:rsidRPr="00D53C5E">
              <w:rPr>
                <w:sz w:val="12"/>
                <w:szCs w:val="12"/>
              </w:rPr>
              <w:t>FIRST-OF-ITS KIND TARGETED RNA-BASED INFUSION THERAPY TO TREAT PERIPHERAL NERVE DISEASE CAUSED BY HEREDITARY TRANSTHYRETIN-MEDIATED AMYLOIDOSIS (hATTR) IN ADULTS.</w:t>
            </w:r>
          </w:p>
        </w:tc>
      </w:tr>
      <w:tr w:rsidR="001B56EA" w14:paraId="065E7928" w14:textId="77777777" w:rsidTr="001B56EA">
        <w:trPr>
          <w:trHeight w:val="471"/>
        </w:trPr>
        <w:tc>
          <w:tcPr>
            <w:tcW w:w="1274" w:type="dxa"/>
          </w:tcPr>
          <w:p w14:paraId="2EC80A8D" w14:textId="77777777" w:rsidR="001B56EA" w:rsidRPr="00D53C5E" w:rsidRDefault="001B56EA" w:rsidP="001B56EA">
            <w:pPr>
              <w:rPr>
                <w:sz w:val="12"/>
                <w:szCs w:val="12"/>
              </w:rPr>
            </w:pPr>
            <w:r>
              <w:rPr>
                <w:sz w:val="12"/>
                <w:szCs w:val="12"/>
              </w:rPr>
              <w:t>8/20/2018</w:t>
            </w:r>
          </w:p>
        </w:tc>
        <w:tc>
          <w:tcPr>
            <w:tcW w:w="1923" w:type="dxa"/>
          </w:tcPr>
          <w:p w14:paraId="4B497DAB" w14:textId="77777777" w:rsidR="001B56EA" w:rsidRPr="00D53C5E" w:rsidRDefault="001B56EA" w:rsidP="001B56EA">
            <w:pPr>
              <w:rPr>
                <w:sz w:val="12"/>
                <w:szCs w:val="12"/>
              </w:rPr>
            </w:pPr>
            <w:r>
              <w:rPr>
                <w:sz w:val="12"/>
                <w:szCs w:val="12"/>
              </w:rPr>
              <w:t>DIACOMIT</w:t>
            </w:r>
          </w:p>
        </w:tc>
        <w:tc>
          <w:tcPr>
            <w:tcW w:w="2393" w:type="dxa"/>
          </w:tcPr>
          <w:p w14:paraId="5D66D6AC" w14:textId="77777777" w:rsidR="001B56EA" w:rsidRPr="00D53C5E" w:rsidRDefault="001B56EA" w:rsidP="001B56EA">
            <w:pPr>
              <w:rPr>
                <w:sz w:val="12"/>
                <w:szCs w:val="12"/>
              </w:rPr>
            </w:pPr>
            <w:r>
              <w:rPr>
                <w:sz w:val="12"/>
                <w:szCs w:val="12"/>
              </w:rPr>
              <w:t>STIRIPENTOL</w:t>
            </w:r>
          </w:p>
        </w:tc>
        <w:tc>
          <w:tcPr>
            <w:tcW w:w="2689" w:type="dxa"/>
          </w:tcPr>
          <w:p w14:paraId="4D465E3F" w14:textId="77777777" w:rsidR="001B56EA" w:rsidRPr="00D53C5E" w:rsidRDefault="001B56EA" w:rsidP="001B56EA">
            <w:pPr>
              <w:rPr>
                <w:sz w:val="12"/>
                <w:szCs w:val="12"/>
              </w:rPr>
            </w:pPr>
            <w:r>
              <w:rPr>
                <w:sz w:val="12"/>
                <w:szCs w:val="12"/>
              </w:rPr>
              <w:t>TYPE 1 – NEW MOLECULAR ENTITY</w:t>
            </w:r>
          </w:p>
        </w:tc>
        <w:tc>
          <w:tcPr>
            <w:tcW w:w="3228" w:type="dxa"/>
          </w:tcPr>
          <w:p w14:paraId="1F9A87F5" w14:textId="77777777" w:rsidR="001B56EA" w:rsidRPr="00D53C5E" w:rsidRDefault="001B56EA" w:rsidP="001B56EA">
            <w:pPr>
              <w:rPr>
                <w:sz w:val="12"/>
                <w:szCs w:val="12"/>
              </w:rPr>
            </w:pPr>
            <w:r>
              <w:rPr>
                <w:sz w:val="12"/>
                <w:szCs w:val="12"/>
              </w:rPr>
              <w:t>INDICATED FOR THE TREATMENT OF SEIZURES ASSOCIATED WITH DRAVET SYNDROME IN PATIENTS TWO YEARS OF AGE AND OLDER TAKING CLOBAZAM.</w:t>
            </w:r>
          </w:p>
        </w:tc>
      </w:tr>
      <w:tr w:rsidR="001B56EA" w14:paraId="2CFE98F9" w14:textId="77777777" w:rsidTr="001B56EA">
        <w:trPr>
          <w:trHeight w:val="471"/>
        </w:trPr>
        <w:tc>
          <w:tcPr>
            <w:tcW w:w="1274" w:type="dxa"/>
          </w:tcPr>
          <w:p w14:paraId="715A9B04" w14:textId="77777777" w:rsidR="001B56EA" w:rsidRPr="00D53C5E" w:rsidRDefault="001B56EA" w:rsidP="001B56EA">
            <w:pPr>
              <w:rPr>
                <w:sz w:val="12"/>
                <w:szCs w:val="12"/>
              </w:rPr>
            </w:pPr>
            <w:r w:rsidRPr="00D53C5E">
              <w:rPr>
                <w:sz w:val="12"/>
                <w:szCs w:val="12"/>
              </w:rPr>
              <w:t>8/23/2018</w:t>
            </w:r>
          </w:p>
        </w:tc>
        <w:tc>
          <w:tcPr>
            <w:tcW w:w="1923" w:type="dxa"/>
          </w:tcPr>
          <w:p w14:paraId="3BF9DE17" w14:textId="77777777" w:rsidR="001B56EA" w:rsidRPr="00D53C5E" w:rsidRDefault="001B56EA" w:rsidP="001B56EA">
            <w:pPr>
              <w:rPr>
                <w:sz w:val="12"/>
                <w:szCs w:val="12"/>
              </w:rPr>
            </w:pPr>
            <w:r w:rsidRPr="00D53C5E">
              <w:rPr>
                <w:sz w:val="12"/>
                <w:szCs w:val="12"/>
              </w:rPr>
              <w:t>TAKHZYRO</w:t>
            </w:r>
          </w:p>
        </w:tc>
        <w:tc>
          <w:tcPr>
            <w:tcW w:w="2393" w:type="dxa"/>
          </w:tcPr>
          <w:p w14:paraId="7BC9F916" w14:textId="77777777" w:rsidR="001B56EA" w:rsidRPr="00D53C5E" w:rsidRDefault="001B56EA" w:rsidP="001B56EA">
            <w:pPr>
              <w:rPr>
                <w:sz w:val="12"/>
                <w:szCs w:val="12"/>
              </w:rPr>
            </w:pPr>
            <w:r w:rsidRPr="00D53C5E">
              <w:rPr>
                <w:sz w:val="12"/>
                <w:szCs w:val="12"/>
              </w:rPr>
              <w:t>LANADELUMAB</w:t>
            </w:r>
          </w:p>
        </w:tc>
        <w:tc>
          <w:tcPr>
            <w:tcW w:w="2689" w:type="dxa"/>
          </w:tcPr>
          <w:p w14:paraId="0E65ADF1" w14:textId="77777777" w:rsidR="001B56EA" w:rsidRPr="00D53C5E" w:rsidRDefault="001B56EA" w:rsidP="001B56EA">
            <w:pPr>
              <w:rPr>
                <w:sz w:val="12"/>
                <w:szCs w:val="12"/>
              </w:rPr>
            </w:pPr>
            <w:r>
              <w:rPr>
                <w:sz w:val="12"/>
                <w:szCs w:val="12"/>
              </w:rPr>
              <w:t>TYPE 1 – NEW MOLECULAR ENTITY</w:t>
            </w:r>
          </w:p>
        </w:tc>
        <w:tc>
          <w:tcPr>
            <w:tcW w:w="3228" w:type="dxa"/>
          </w:tcPr>
          <w:p w14:paraId="6DCEAE38" w14:textId="77777777" w:rsidR="001B56EA" w:rsidRPr="00D53C5E" w:rsidRDefault="001B56EA" w:rsidP="001B56EA">
            <w:pPr>
              <w:rPr>
                <w:sz w:val="12"/>
                <w:szCs w:val="12"/>
              </w:rPr>
            </w:pPr>
            <w:r w:rsidRPr="00D53C5E">
              <w:rPr>
                <w:sz w:val="12"/>
                <w:szCs w:val="12"/>
              </w:rPr>
              <w:t>PLASMA KALLIKREIN INHIBITOR (MONOCLONAL ANTIBODY) INJECTION, INDICATED FOR PROPHYLAXIS TO PREVENT ATTACKS OF HEREDITARY ANGIODEMA (HAE) IN PATIENTS TWELVE YEARS AND OLDER.</w:t>
            </w:r>
          </w:p>
        </w:tc>
      </w:tr>
      <w:tr w:rsidR="001B56EA" w14:paraId="4116A290" w14:textId="77777777" w:rsidTr="001B56EA">
        <w:trPr>
          <w:trHeight w:val="471"/>
        </w:trPr>
        <w:tc>
          <w:tcPr>
            <w:tcW w:w="1274" w:type="dxa"/>
          </w:tcPr>
          <w:p w14:paraId="3E3F6166" w14:textId="77777777" w:rsidR="001B56EA" w:rsidRPr="00D53C5E" w:rsidRDefault="001B56EA" w:rsidP="001B56EA">
            <w:pPr>
              <w:rPr>
                <w:sz w:val="12"/>
                <w:szCs w:val="12"/>
              </w:rPr>
            </w:pPr>
            <w:r>
              <w:rPr>
                <w:sz w:val="12"/>
                <w:szCs w:val="12"/>
              </w:rPr>
              <w:t>8/27/2018</w:t>
            </w:r>
          </w:p>
        </w:tc>
        <w:tc>
          <w:tcPr>
            <w:tcW w:w="1923" w:type="dxa"/>
          </w:tcPr>
          <w:p w14:paraId="208850D6" w14:textId="77777777" w:rsidR="001B56EA" w:rsidRPr="00D53C5E" w:rsidRDefault="001B56EA" w:rsidP="001B56EA">
            <w:pPr>
              <w:rPr>
                <w:sz w:val="12"/>
                <w:szCs w:val="12"/>
              </w:rPr>
            </w:pPr>
            <w:r>
              <w:rPr>
                <w:sz w:val="12"/>
                <w:szCs w:val="12"/>
              </w:rPr>
              <w:t>XERAVA</w:t>
            </w:r>
          </w:p>
        </w:tc>
        <w:tc>
          <w:tcPr>
            <w:tcW w:w="2393" w:type="dxa"/>
          </w:tcPr>
          <w:p w14:paraId="2891DFDC" w14:textId="77777777" w:rsidR="001B56EA" w:rsidRPr="00D53C5E" w:rsidRDefault="001B56EA" w:rsidP="001B56EA">
            <w:pPr>
              <w:rPr>
                <w:sz w:val="12"/>
                <w:szCs w:val="12"/>
              </w:rPr>
            </w:pPr>
            <w:r>
              <w:rPr>
                <w:sz w:val="12"/>
                <w:szCs w:val="12"/>
              </w:rPr>
              <w:t>ERAVACYCLINE</w:t>
            </w:r>
          </w:p>
        </w:tc>
        <w:tc>
          <w:tcPr>
            <w:tcW w:w="2689" w:type="dxa"/>
          </w:tcPr>
          <w:p w14:paraId="7F45C4A6" w14:textId="77777777" w:rsidR="001B56EA" w:rsidRPr="00D53C5E" w:rsidRDefault="001B56EA" w:rsidP="001B56EA">
            <w:pPr>
              <w:rPr>
                <w:sz w:val="12"/>
                <w:szCs w:val="12"/>
              </w:rPr>
            </w:pPr>
            <w:r>
              <w:rPr>
                <w:sz w:val="12"/>
                <w:szCs w:val="12"/>
              </w:rPr>
              <w:t>TYPE 1 – NEW MOLECULAR ENTITY</w:t>
            </w:r>
          </w:p>
        </w:tc>
        <w:tc>
          <w:tcPr>
            <w:tcW w:w="3228" w:type="dxa"/>
          </w:tcPr>
          <w:p w14:paraId="32960A51" w14:textId="77777777" w:rsidR="001B56EA" w:rsidRPr="00D53C5E" w:rsidRDefault="001B56EA" w:rsidP="001B56EA">
            <w:pPr>
              <w:rPr>
                <w:sz w:val="12"/>
                <w:szCs w:val="12"/>
              </w:rPr>
            </w:pPr>
            <w:r>
              <w:rPr>
                <w:sz w:val="12"/>
                <w:szCs w:val="12"/>
              </w:rPr>
              <w:t>A TETRACYCLINE CLASS ANTIBACTERIAL INDICATED FOR THE TREATMENT OF COMPLICATED INTRA-ABDOMINAL INFECTIONS IN PATIENTS EIGHTEEN YEAR OF AGE AND OLDER.</w:t>
            </w:r>
          </w:p>
        </w:tc>
      </w:tr>
      <w:tr w:rsidR="001B56EA" w14:paraId="7E54DCD4" w14:textId="77777777" w:rsidTr="001B56EA">
        <w:trPr>
          <w:trHeight w:val="471"/>
        </w:trPr>
        <w:tc>
          <w:tcPr>
            <w:tcW w:w="1274" w:type="dxa"/>
          </w:tcPr>
          <w:p w14:paraId="1C673FB0" w14:textId="77777777" w:rsidR="001B56EA" w:rsidRDefault="001B56EA" w:rsidP="001B56EA">
            <w:pPr>
              <w:rPr>
                <w:sz w:val="12"/>
                <w:szCs w:val="12"/>
              </w:rPr>
            </w:pPr>
            <w:r>
              <w:rPr>
                <w:sz w:val="12"/>
                <w:szCs w:val="12"/>
              </w:rPr>
              <w:t>8/30/2018</w:t>
            </w:r>
          </w:p>
        </w:tc>
        <w:tc>
          <w:tcPr>
            <w:tcW w:w="1923" w:type="dxa"/>
          </w:tcPr>
          <w:p w14:paraId="40030074" w14:textId="77777777" w:rsidR="001B56EA" w:rsidRDefault="001B56EA" w:rsidP="001B56EA">
            <w:pPr>
              <w:rPr>
                <w:sz w:val="12"/>
                <w:szCs w:val="12"/>
              </w:rPr>
            </w:pPr>
            <w:r>
              <w:rPr>
                <w:sz w:val="12"/>
                <w:szCs w:val="12"/>
              </w:rPr>
              <w:t>PIFELTRO</w:t>
            </w:r>
          </w:p>
        </w:tc>
        <w:tc>
          <w:tcPr>
            <w:tcW w:w="2393" w:type="dxa"/>
          </w:tcPr>
          <w:p w14:paraId="4E3540D9" w14:textId="77777777" w:rsidR="001B56EA" w:rsidRDefault="001B56EA" w:rsidP="001B56EA">
            <w:pPr>
              <w:rPr>
                <w:sz w:val="12"/>
                <w:szCs w:val="12"/>
              </w:rPr>
            </w:pPr>
            <w:r>
              <w:rPr>
                <w:sz w:val="12"/>
                <w:szCs w:val="12"/>
              </w:rPr>
              <w:t>DORAVIRINE</w:t>
            </w:r>
          </w:p>
        </w:tc>
        <w:tc>
          <w:tcPr>
            <w:tcW w:w="2689" w:type="dxa"/>
          </w:tcPr>
          <w:p w14:paraId="6C05B572" w14:textId="77777777" w:rsidR="001B56EA" w:rsidRDefault="001B56EA" w:rsidP="001B56EA">
            <w:pPr>
              <w:rPr>
                <w:sz w:val="12"/>
                <w:szCs w:val="12"/>
              </w:rPr>
            </w:pPr>
            <w:r>
              <w:rPr>
                <w:sz w:val="12"/>
                <w:szCs w:val="12"/>
              </w:rPr>
              <w:t>TYPE 1 – NEW MOLECULAR ENTITY</w:t>
            </w:r>
          </w:p>
        </w:tc>
        <w:tc>
          <w:tcPr>
            <w:tcW w:w="3228" w:type="dxa"/>
          </w:tcPr>
          <w:p w14:paraId="320ED6D8" w14:textId="77777777" w:rsidR="001B56EA" w:rsidRPr="00D53C5E" w:rsidRDefault="001B56EA" w:rsidP="001B56EA">
            <w:pPr>
              <w:rPr>
                <w:sz w:val="12"/>
                <w:szCs w:val="12"/>
              </w:rPr>
            </w:pPr>
            <w:r>
              <w:rPr>
                <w:sz w:val="12"/>
                <w:szCs w:val="12"/>
              </w:rPr>
              <w:t>A NON-NUCLEOSIDE REVERSE TRANSCRIPTASE INHIBITOR (NNRTI) INDICATED IN COMBINATION WITH OTHER ANTIRETROVIRAL AGENTS FOR THE TREATMENT OF HIV-1 INFECTED ADULT PATIENTS WITH NO PRIOR ANTIRETROVIRAL TREATMENT HISTORY.</w:t>
            </w:r>
          </w:p>
        </w:tc>
      </w:tr>
      <w:tr w:rsidR="001B56EA" w14:paraId="0AFCC030" w14:textId="77777777" w:rsidTr="001B56EA">
        <w:trPr>
          <w:trHeight w:val="471"/>
        </w:trPr>
        <w:tc>
          <w:tcPr>
            <w:tcW w:w="1274" w:type="dxa"/>
          </w:tcPr>
          <w:p w14:paraId="18A8B258" w14:textId="77777777" w:rsidR="001B56EA" w:rsidRDefault="001B56EA" w:rsidP="001B56EA">
            <w:pPr>
              <w:rPr>
                <w:sz w:val="12"/>
                <w:szCs w:val="12"/>
              </w:rPr>
            </w:pPr>
            <w:r>
              <w:rPr>
                <w:sz w:val="12"/>
                <w:szCs w:val="12"/>
              </w:rPr>
              <w:t>8/30/2018</w:t>
            </w:r>
          </w:p>
        </w:tc>
        <w:tc>
          <w:tcPr>
            <w:tcW w:w="1923" w:type="dxa"/>
          </w:tcPr>
          <w:p w14:paraId="1ACEA13A" w14:textId="77777777" w:rsidR="001B56EA" w:rsidRDefault="001B56EA" w:rsidP="001B56EA">
            <w:pPr>
              <w:rPr>
                <w:sz w:val="12"/>
                <w:szCs w:val="12"/>
              </w:rPr>
            </w:pPr>
            <w:r>
              <w:rPr>
                <w:sz w:val="12"/>
                <w:szCs w:val="12"/>
              </w:rPr>
              <w:t>DELSTRIGO</w:t>
            </w:r>
          </w:p>
        </w:tc>
        <w:tc>
          <w:tcPr>
            <w:tcW w:w="2393" w:type="dxa"/>
          </w:tcPr>
          <w:p w14:paraId="040BFDF3" w14:textId="77777777" w:rsidR="001B56EA" w:rsidRDefault="001B56EA" w:rsidP="001B56EA">
            <w:pPr>
              <w:rPr>
                <w:sz w:val="12"/>
                <w:szCs w:val="12"/>
              </w:rPr>
            </w:pPr>
            <w:r>
              <w:rPr>
                <w:sz w:val="12"/>
                <w:szCs w:val="12"/>
              </w:rPr>
              <w:t>DORAVIRINE; LAMIVUDINE; TENOFOVIR DISOPROXIL FUMARATE</w:t>
            </w:r>
          </w:p>
        </w:tc>
        <w:tc>
          <w:tcPr>
            <w:tcW w:w="2689" w:type="dxa"/>
          </w:tcPr>
          <w:p w14:paraId="5B19F884" w14:textId="77777777" w:rsidR="001B56EA" w:rsidRDefault="001B56EA" w:rsidP="001B56EA">
            <w:pPr>
              <w:rPr>
                <w:sz w:val="12"/>
                <w:szCs w:val="12"/>
              </w:rPr>
            </w:pPr>
            <w:r>
              <w:rPr>
                <w:sz w:val="12"/>
                <w:szCs w:val="12"/>
              </w:rPr>
              <w:t>TYPE 1 – NEW MOLECUALR ENTITY AND TYPE 4 – NEW COMBINATION</w:t>
            </w:r>
          </w:p>
        </w:tc>
        <w:tc>
          <w:tcPr>
            <w:tcW w:w="3228" w:type="dxa"/>
          </w:tcPr>
          <w:p w14:paraId="0E5FC45C" w14:textId="77777777" w:rsidR="001B56EA" w:rsidRPr="00D53C5E" w:rsidRDefault="001B56EA" w:rsidP="001B56EA">
            <w:pPr>
              <w:rPr>
                <w:sz w:val="12"/>
                <w:szCs w:val="12"/>
              </w:rPr>
            </w:pPr>
            <w:r>
              <w:rPr>
                <w:sz w:val="12"/>
                <w:szCs w:val="12"/>
              </w:rPr>
              <w:t>INDICATED AS A COMPLETE REGIMEN FOR THE TREATMENT OF HIV-1 INFECTION IN ADULT PATIENTS WITH NO ANTIRETROVIRAL TREATMENT HISTORY.</w:t>
            </w:r>
          </w:p>
        </w:tc>
      </w:tr>
    </w:tbl>
    <w:p w14:paraId="1D659ED9" w14:textId="77777777" w:rsidR="00842D0A" w:rsidRDefault="00842D0A" w:rsidP="00842D0A"/>
    <w:p w14:paraId="5E8BA127" w14:textId="77777777" w:rsidR="00842D0A" w:rsidRDefault="00842D0A" w:rsidP="00842D0A"/>
    <w:p w14:paraId="2DB24975" w14:textId="77777777" w:rsidR="00842D0A" w:rsidRDefault="00AE1E80" w:rsidP="00842D0A">
      <w:pPr>
        <w:rPr>
          <w:b/>
          <w:color w:val="4684D0" w:themeColor="accent5"/>
          <w:sz w:val="44"/>
          <w:szCs w:val="44"/>
        </w:rPr>
      </w:pPr>
      <w:r w:rsidRPr="00AE1E80">
        <w:rPr>
          <w:b/>
          <w:color w:val="4684D0" w:themeColor="accent5"/>
          <w:sz w:val="44"/>
          <w:szCs w:val="44"/>
        </w:rPr>
        <w:t>PROGRAM EVENTS</w:t>
      </w:r>
    </w:p>
    <w:p w14:paraId="2BB8E3BF" w14:textId="77777777" w:rsidR="00AE1E80" w:rsidRPr="00D92305" w:rsidRDefault="00AE1E80" w:rsidP="00842D0A">
      <w:pPr>
        <w:rPr>
          <w:b/>
          <w:color w:val="4684D0" w:themeColor="accent5"/>
          <w:sz w:val="32"/>
          <w:szCs w:val="32"/>
          <w:u w:val="single"/>
        </w:rPr>
      </w:pPr>
      <w:r w:rsidRPr="00D92305">
        <w:rPr>
          <w:b/>
          <w:color w:val="4684D0" w:themeColor="accent5"/>
          <w:sz w:val="32"/>
          <w:szCs w:val="32"/>
          <w:u w:val="single"/>
        </w:rPr>
        <w:t>PHARMACY</w:t>
      </w:r>
    </w:p>
    <w:p w14:paraId="6F05F2D8" w14:textId="77777777" w:rsidR="006B2DC4" w:rsidRPr="006B2DC4" w:rsidRDefault="006B2DC4" w:rsidP="006B2DC4">
      <w:pPr>
        <w:rPr>
          <w:color w:val="auto"/>
          <w:sz w:val="32"/>
          <w:szCs w:val="32"/>
        </w:rPr>
      </w:pPr>
      <w:r w:rsidRPr="006B2DC4">
        <w:rPr>
          <w:b/>
          <w:color w:val="auto"/>
          <w:sz w:val="32"/>
          <w:szCs w:val="32"/>
        </w:rPr>
        <w:t xml:space="preserve">Prior Authorization Botox – </w:t>
      </w:r>
      <w:r w:rsidRPr="006B2DC4">
        <w:rPr>
          <w:color w:val="auto"/>
          <w:sz w:val="32"/>
          <w:szCs w:val="32"/>
        </w:rPr>
        <w:t xml:space="preserve">Criteria is being moved from </w:t>
      </w:r>
      <w:r w:rsidR="00F84763">
        <w:rPr>
          <w:color w:val="auto"/>
          <w:sz w:val="32"/>
          <w:szCs w:val="32"/>
        </w:rPr>
        <w:t xml:space="preserve">Medicaid Services Manual </w:t>
      </w:r>
      <w:r w:rsidRPr="006B2DC4">
        <w:rPr>
          <w:color w:val="auto"/>
          <w:sz w:val="32"/>
          <w:szCs w:val="32"/>
        </w:rPr>
        <w:t>Chapter 600 to Chapter 1200</w:t>
      </w:r>
    </w:p>
    <w:p w14:paraId="52424E37" w14:textId="77777777" w:rsidR="006B2DC4" w:rsidRPr="006B2DC4" w:rsidRDefault="006B2DC4" w:rsidP="006B2DC4">
      <w:pPr>
        <w:rPr>
          <w:color w:val="auto"/>
          <w:sz w:val="32"/>
          <w:szCs w:val="32"/>
        </w:rPr>
      </w:pPr>
      <w:r w:rsidRPr="006B2DC4">
        <w:rPr>
          <w:b/>
          <w:color w:val="auto"/>
          <w:sz w:val="32"/>
          <w:szCs w:val="32"/>
        </w:rPr>
        <w:t>Pharmacy and Therapeutics Meeting (P&amp;T)</w:t>
      </w:r>
      <w:r w:rsidRPr="006B2DC4">
        <w:rPr>
          <w:color w:val="auto"/>
          <w:sz w:val="32"/>
          <w:szCs w:val="32"/>
        </w:rPr>
        <w:t xml:space="preserve"> – Next quarterly meeting</w:t>
      </w:r>
      <w:r w:rsidR="00F84763">
        <w:rPr>
          <w:color w:val="auto"/>
          <w:sz w:val="32"/>
          <w:szCs w:val="32"/>
        </w:rPr>
        <w:t>,</w:t>
      </w:r>
      <w:r w:rsidRPr="006B2DC4">
        <w:rPr>
          <w:color w:val="auto"/>
          <w:sz w:val="32"/>
          <w:szCs w:val="32"/>
        </w:rPr>
        <w:t xml:space="preserve"> Thursday 9/27/2018 at Springs Preserve in Las Vegas</w:t>
      </w:r>
    </w:p>
    <w:p w14:paraId="54BF76A9" w14:textId="77777777" w:rsidR="006B2DC4" w:rsidRPr="006B2DC4" w:rsidRDefault="006B2DC4" w:rsidP="006B2DC4">
      <w:pPr>
        <w:rPr>
          <w:color w:val="auto"/>
          <w:sz w:val="32"/>
          <w:szCs w:val="32"/>
        </w:rPr>
      </w:pPr>
      <w:r w:rsidRPr="006B2DC4">
        <w:rPr>
          <w:b/>
          <w:color w:val="auto"/>
          <w:sz w:val="32"/>
          <w:szCs w:val="32"/>
        </w:rPr>
        <w:t>Drug Utilization Review Board (DUR)</w:t>
      </w:r>
      <w:r w:rsidRPr="006B2DC4">
        <w:rPr>
          <w:color w:val="auto"/>
          <w:sz w:val="32"/>
          <w:szCs w:val="32"/>
        </w:rPr>
        <w:t xml:space="preserve"> – Next quarterly meeting, Thursday 10/18/2018 at Hyatt Place Reno-Tahoe Airport</w:t>
      </w:r>
    </w:p>
    <w:p w14:paraId="503813B3" w14:textId="77777777" w:rsidR="00AE1E80" w:rsidRPr="00D92305" w:rsidRDefault="00AE1E80" w:rsidP="00842D0A">
      <w:pPr>
        <w:rPr>
          <w:b/>
          <w:color w:val="4684D0" w:themeColor="accent5"/>
          <w:sz w:val="32"/>
          <w:szCs w:val="32"/>
          <w:u w:val="single"/>
        </w:rPr>
      </w:pPr>
      <w:r w:rsidRPr="00D92305">
        <w:rPr>
          <w:b/>
          <w:color w:val="4684D0" w:themeColor="accent5"/>
          <w:sz w:val="32"/>
          <w:szCs w:val="32"/>
          <w:u w:val="single"/>
        </w:rPr>
        <w:t>D</w:t>
      </w:r>
      <w:r w:rsidR="00F84763">
        <w:rPr>
          <w:b/>
          <w:color w:val="4684D0" w:themeColor="accent5"/>
          <w:sz w:val="32"/>
          <w:szCs w:val="32"/>
          <w:u w:val="single"/>
        </w:rPr>
        <w:t xml:space="preserve">URABLE </w:t>
      </w:r>
      <w:r w:rsidRPr="00D92305">
        <w:rPr>
          <w:b/>
          <w:color w:val="4684D0" w:themeColor="accent5"/>
          <w:sz w:val="32"/>
          <w:szCs w:val="32"/>
          <w:u w:val="single"/>
        </w:rPr>
        <w:t>ME</w:t>
      </w:r>
      <w:r w:rsidR="00F84763">
        <w:rPr>
          <w:b/>
          <w:color w:val="4684D0" w:themeColor="accent5"/>
          <w:sz w:val="32"/>
          <w:szCs w:val="32"/>
          <w:u w:val="single"/>
        </w:rPr>
        <w:t>DICAL EQUIPMENT (DME)</w:t>
      </w:r>
    </w:p>
    <w:p w14:paraId="12589FDC" w14:textId="77777777" w:rsidR="00734D1A" w:rsidRPr="006B2DC4" w:rsidRDefault="0069434D" w:rsidP="00734D1A">
      <w:pPr>
        <w:rPr>
          <w:color w:val="auto"/>
          <w:sz w:val="32"/>
          <w:szCs w:val="32"/>
        </w:rPr>
      </w:pPr>
      <w:r w:rsidRPr="006B2DC4">
        <w:rPr>
          <w:b/>
          <w:color w:val="auto"/>
          <w:sz w:val="32"/>
          <w:szCs w:val="32"/>
        </w:rPr>
        <w:t>8/9/18</w:t>
      </w:r>
      <w:r w:rsidR="00FB2541" w:rsidRPr="006B2DC4">
        <w:rPr>
          <w:color w:val="auto"/>
          <w:sz w:val="32"/>
          <w:szCs w:val="32"/>
        </w:rPr>
        <w:t xml:space="preserve"> – </w:t>
      </w:r>
      <w:r w:rsidR="00AC0A4D">
        <w:rPr>
          <w:color w:val="auto"/>
          <w:sz w:val="32"/>
          <w:szCs w:val="32"/>
        </w:rPr>
        <w:t>National</w:t>
      </w:r>
      <w:r w:rsidR="00FB2541" w:rsidRPr="006B2DC4">
        <w:rPr>
          <w:color w:val="auto"/>
          <w:sz w:val="32"/>
          <w:szCs w:val="32"/>
        </w:rPr>
        <w:t xml:space="preserve"> DMEPOS </w:t>
      </w:r>
      <w:r w:rsidR="00F84763">
        <w:rPr>
          <w:color w:val="auto"/>
          <w:sz w:val="32"/>
          <w:szCs w:val="32"/>
        </w:rPr>
        <w:t>(Durable Medical Equipment, Prosthetics, Orthotics</w:t>
      </w:r>
      <w:r w:rsidR="005C7E6D">
        <w:rPr>
          <w:color w:val="auto"/>
          <w:sz w:val="32"/>
          <w:szCs w:val="32"/>
        </w:rPr>
        <w:t xml:space="preserve">) </w:t>
      </w:r>
      <w:r w:rsidR="00FB2541" w:rsidRPr="006B2DC4">
        <w:rPr>
          <w:color w:val="auto"/>
          <w:sz w:val="32"/>
          <w:szCs w:val="32"/>
        </w:rPr>
        <w:t>call to review and collaborate with other states on past, current and future federal regulations.</w:t>
      </w:r>
      <w:r w:rsidR="00734D1A" w:rsidRPr="006B2DC4">
        <w:rPr>
          <w:color w:val="auto"/>
          <w:sz w:val="32"/>
          <w:szCs w:val="32"/>
        </w:rPr>
        <w:t xml:space="preserve"> </w:t>
      </w:r>
      <w:r w:rsidR="005003FD">
        <w:rPr>
          <w:color w:val="auto"/>
          <w:sz w:val="32"/>
          <w:szCs w:val="32"/>
        </w:rPr>
        <w:t>A highlight</w:t>
      </w:r>
      <w:r w:rsidR="00D92305" w:rsidRPr="006B2DC4">
        <w:rPr>
          <w:color w:val="auto"/>
          <w:sz w:val="32"/>
          <w:szCs w:val="32"/>
        </w:rPr>
        <w:t xml:space="preserve">: </w:t>
      </w:r>
      <w:r w:rsidR="00734D1A" w:rsidRPr="006B2DC4">
        <w:rPr>
          <w:color w:val="auto"/>
          <w:sz w:val="32"/>
          <w:szCs w:val="32"/>
        </w:rPr>
        <w:t xml:space="preserve">As part of the </w:t>
      </w:r>
      <w:r w:rsidR="00AC0A4D">
        <w:rPr>
          <w:color w:val="auto"/>
          <w:sz w:val="32"/>
          <w:szCs w:val="32"/>
        </w:rPr>
        <w:t>21</w:t>
      </w:r>
      <w:r w:rsidR="00AC0A4D" w:rsidRPr="00AC0A4D">
        <w:rPr>
          <w:color w:val="auto"/>
          <w:sz w:val="32"/>
          <w:szCs w:val="32"/>
          <w:vertAlign w:val="superscript"/>
        </w:rPr>
        <w:t>st</w:t>
      </w:r>
      <w:r w:rsidR="00AC0A4D">
        <w:rPr>
          <w:color w:val="auto"/>
          <w:sz w:val="32"/>
          <w:szCs w:val="32"/>
        </w:rPr>
        <w:t xml:space="preserve"> Century </w:t>
      </w:r>
      <w:r w:rsidR="00734D1A" w:rsidRPr="006B2DC4">
        <w:rPr>
          <w:color w:val="auto"/>
          <w:sz w:val="32"/>
          <w:szCs w:val="32"/>
        </w:rPr>
        <w:t xml:space="preserve">CURES </w:t>
      </w:r>
      <w:r w:rsidR="00AC0A4D">
        <w:rPr>
          <w:color w:val="auto"/>
          <w:sz w:val="32"/>
          <w:szCs w:val="32"/>
        </w:rPr>
        <w:t>A</w:t>
      </w:r>
      <w:r w:rsidR="00734D1A" w:rsidRPr="006B2DC4">
        <w:rPr>
          <w:color w:val="auto"/>
          <w:sz w:val="32"/>
          <w:szCs w:val="32"/>
        </w:rPr>
        <w:t>ct</w:t>
      </w:r>
      <w:r w:rsidR="00AC0A4D">
        <w:rPr>
          <w:color w:val="auto"/>
          <w:sz w:val="32"/>
          <w:szCs w:val="32"/>
        </w:rPr>
        <w:t>,</w:t>
      </w:r>
      <w:r w:rsidR="00734D1A" w:rsidRPr="006B2DC4">
        <w:rPr>
          <w:color w:val="auto"/>
          <w:sz w:val="32"/>
          <w:szCs w:val="32"/>
        </w:rPr>
        <w:t xml:space="preserve"> Colorado </w:t>
      </w:r>
      <w:r w:rsidR="005003FD">
        <w:rPr>
          <w:color w:val="auto"/>
          <w:sz w:val="32"/>
          <w:szCs w:val="32"/>
        </w:rPr>
        <w:t>is starting,</w:t>
      </w:r>
      <w:r w:rsidR="00734D1A" w:rsidRPr="006B2DC4">
        <w:rPr>
          <w:color w:val="auto"/>
          <w:sz w:val="32"/>
          <w:szCs w:val="32"/>
        </w:rPr>
        <w:t xml:space="preserve"> with legislative approval</w:t>
      </w:r>
      <w:r w:rsidR="005003FD">
        <w:rPr>
          <w:color w:val="auto"/>
          <w:sz w:val="32"/>
          <w:szCs w:val="32"/>
        </w:rPr>
        <w:t>,</w:t>
      </w:r>
      <w:r w:rsidR="00734D1A" w:rsidRPr="006B2DC4">
        <w:rPr>
          <w:color w:val="auto"/>
          <w:sz w:val="32"/>
          <w:szCs w:val="32"/>
        </w:rPr>
        <w:t xml:space="preserve"> a supplemental payment program for oxygen</w:t>
      </w:r>
      <w:r w:rsidR="00AC0A4D">
        <w:rPr>
          <w:color w:val="auto"/>
          <w:sz w:val="32"/>
          <w:szCs w:val="32"/>
        </w:rPr>
        <w:t>-</w:t>
      </w:r>
      <w:r w:rsidR="00734D1A" w:rsidRPr="006B2DC4">
        <w:rPr>
          <w:color w:val="auto"/>
          <w:sz w:val="32"/>
          <w:szCs w:val="32"/>
        </w:rPr>
        <w:t>utilizing labor codes to help lessen pay cuts associated</w:t>
      </w:r>
      <w:r w:rsidR="00D92305" w:rsidRPr="006B2DC4">
        <w:rPr>
          <w:color w:val="auto"/>
          <w:sz w:val="32"/>
          <w:szCs w:val="32"/>
        </w:rPr>
        <w:t xml:space="preserve"> with the </w:t>
      </w:r>
      <w:r w:rsidR="00AC0A4D">
        <w:rPr>
          <w:color w:val="auto"/>
          <w:sz w:val="32"/>
          <w:szCs w:val="32"/>
        </w:rPr>
        <w:t>a</w:t>
      </w:r>
      <w:r w:rsidR="00D92305" w:rsidRPr="006B2DC4">
        <w:rPr>
          <w:color w:val="auto"/>
          <w:sz w:val="32"/>
          <w:szCs w:val="32"/>
        </w:rPr>
        <w:t>ct.</w:t>
      </w:r>
      <w:r w:rsidR="005C7E6D">
        <w:rPr>
          <w:color w:val="auto"/>
          <w:sz w:val="32"/>
          <w:szCs w:val="32"/>
        </w:rPr>
        <w:t xml:space="preserve"> The CURES Act requires states to implement an Electronic Visit Verification system by January 1, 2019 for Personal Care Services</w:t>
      </w:r>
      <w:r w:rsidR="005003FD">
        <w:rPr>
          <w:color w:val="auto"/>
          <w:sz w:val="32"/>
          <w:szCs w:val="32"/>
        </w:rPr>
        <w:t xml:space="preserve"> and by January 1, 2023 for Home Health Care Services.</w:t>
      </w:r>
    </w:p>
    <w:p w14:paraId="6CF968A0" w14:textId="77777777" w:rsidR="00FB2541" w:rsidRPr="006B2DC4" w:rsidRDefault="00FB2541" w:rsidP="00842D0A">
      <w:pPr>
        <w:rPr>
          <w:color w:val="auto"/>
          <w:sz w:val="32"/>
          <w:szCs w:val="32"/>
        </w:rPr>
      </w:pPr>
      <w:r w:rsidRPr="006B2DC4">
        <w:rPr>
          <w:b/>
          <w:color w:val="auto"/>
          <w:sz w:val="32"/>
          <w:szCs w:val="32"/>
        </w:rPr>
        <w:t>8/28/18</w:t>
      </w:r>
      <w:r w:rsidRPr="006B2DC4">
        <w:rPr>
          <w:color w:val="auto"/>
          <w:sz w:val="32"/>
          <w:szCs w:val="32"/>
        </w:rPr>
        <w:t xml:space="preserve"> – Monthly DME group (DXC and DHCFP) to discuss issues providers are seeing with recipient trends.</w:t>
      </w:r>
      <w:r w:rsidR="00D92305" w:rsidRPr="006B2DC4">
        <w:rPr>
          <w:color w:val="auto"/>
          <w:sz w:val="32"/>
          <w:szCs w:val="32"/>
        </w:rPr>
        <w:t xml:space="preserve"> Providers are still seeing claims denials for </w:t>
      </w:r>
      <w:r w:rsidR="00AC0A4D">
        <w:rPr>
          <w:color w:val="auto"/>
          <w:sz w:val="32"/>
          <w:szCs w:val="32"/>
        </w:rPr>
        <w:t>National Provider Identifier (</w:t>
      </w:r>
      <w:r w:rsidR="00D92305" w:rsidRPr="006B2DC4">
        <w:rPr>
          <w:color w:val="auto"/>
          <w:sz w:val="32"/>
          <w:szCs w:val="32"/>
        </w:rPr>
        <w:t>NPI</w:t>
      </w:r>
      <w:r w:rsidR="00AC0A4D">
        <w:rPr>
          <w:color w:val="auto"/>
          <w:sz w:val="32"/>
          <w:szCs w:val="32"/>
        </w:rPr>
        <w:t>)</w:t>
      </w:r>
      <w:r w:rsidR="00D92305" w:rsidRPr="006B2DC4">
        <w:rPr>
          <w:color w:val="auto"/>
          <w:sz w:val="32"/>
          <w:szCs w:val="32"/>
        </w:rPr>
        <w:t xml:space="preserve"> numbers dropping on crossover claims.</w:t>
      </w:r>
    </w:p>
    <w:p w14:paraId="372FBAAF" w14:textId="77777777" w:rsidR="00FB2541" w:rsidRPr="006B2DC4" w:rsidRDefault="00FB2541" w:rsidP="00842D0A">
      <w:pPr>
        <w:rPr>
          <w:color w:val="auto"/>
          <w:sz w:val="32"/>
          <w:szCs w:val="32"/>
        </w:rPr>
      </w:pPr>
      <w:r w:rsidRPr="006B2DC4">
        <w:rPr>
          <w:b/>
          <w:color w:val="auto"/>
          <w:sz w:val="32"/>
          <w:szCs w:val="32"/>
        </w:rPr>
        <w:t>8/29/18</w:t>
      </w:r>
      <w:r w:rsidRPr="006B2DC4">
        <w:rPr>
          <w:color w:val="auto"/>
          <w:sz w:val="32"/>
          <w:szCs w:val="32"/>
        </w:rPr>
        <w:t xml:space="preserve"> – Participating with DPBH on </w:t>
      </w:r>
      <w:r w:rsidR="00AC0A4D">
        <w:rPr>
          <w:color w:val="auto"/>
          <w:sz w:val="32"/>
          <w:szCs w:val="32"/>
        </w:rPr>
        <w:t>its</w:t>
      </w:r>
      <w:r w:rsidRPr="006B2DC4">
        <w:rPr>
          <w:color w:val="auto"/>
          <w:sz w:val="32"/>
          <w:szCs w:val="32"/>
        </w:rPr>
        <w:t xml:space="preserve"> Chronic Disease Initiative</w:t>
      </w:r>
      <w:r w:rsidR="005003FD">
        <w:rPr>
          <w:color w:val="auto"/>
          <w:sz w:val="32"/>
          <w:szCs w:val="32"/>
        </w:rPr>
        <w:t>.</w:t>
      </w:r>
    </w:p>
    <w:p w14:paraId="3D19AF74" w14:textId="77777777" w:rsidR="00D92305" w:rsidRPr="006B2DC4" w:rsidRDefault="00D92305" w:rsidP="00842D0A">
      <w:pPr>
        <w:rPr>
          <w:color w:val="auto"/>
          <w:sz w:val="32"/>
          <w:szCs w:val="32"/>
        </w:rPr>
      </w:pPr>
    </w:p>
    <w:p w14:paraId="1D6CD3DA" w14:textId="77777777" w:rsidR="00D92305" w:rsidRPr="006B2DC4" w:rsidRDefault="00D92305" w:rsidP="00842D0A">
      <w:pPr>
        <w:rPr>
          <w:b/>
          <w:color w:val="auto"/>
          <w:sz w:val="32"/>
          <w:szCs w:val="32"/>
        </w:rPr>
      </w:pPr>
      <w:r w:rsidRPr="006B2DC4">
        <w:rPr>
          <w:b/>
          <w:color w:val="auto"/>
          <w:sz w:val="32"/>
          <w:szCs w:val="32"/>
        </w:rPr>
        <w:t>PDRs:</w:t>
      </w:r>
    </w:p>
    <w:p w14:paraId="73081C72" w14:textId="77777777" w:rsidR="006A46E6" w:rsidRPr="006B2DC4" w:rsidRDefault="006A46E6" w:rsidP="00D92305">
      <w:pPr>
        <w:pStyle w:val="ListParagraph"/>
        <w:numPr>
          <w:ilvl w:val="0"/>
          <w:numId w:val="8"/>
        </w:numPr>
        <w:rPr>
          <w:color w:val="auto"/>
          <w:sz w:val="32"/>
          <w:szCs w:val="32"/>
        </w:rPr>
      </w:pPr>
      <w:r w:rsidRPr="006B2DC4">
        <w:rPr>
          <w:color w:val="auto"/>
          <w:sz w:val="32"/>
          <w:szCs w:val="32"/>
        </w:rPr>
        <w:t>KU Modifier implementation for higher payment on specific accessories associated with Power Grp 3 wheelchairs required by the CURES Act</w:t>
      </w:r>
      <w:r w:rsidR="005003FD">
        <w:rPr>
          <w:color w:val="auto"/>
          <w:sz w:val="32"/>
          <w:szCs w:val="32"/>
        </w:rPr>
        <w:t>.</w:t>
      </w:r>
    </w:p>
    <w:p w14:paraId="193841D8" w14:textId="77777777" w:rsidR="00A0683D" w:rsidRPr="006B2DC4" w:rsidRDefault="00734D1A" w:rsidP="00D92305">
      <w:pPr>
        <w:pStyle w:val="ListParagraph"/>
        <w:numPr>
          <w:ilvl w:val="0"/>
          <w:numId w:val="8"/>
        </w:numPr>
        <w:rPr>
          <w:color w:val="auto"/>
          <w:sz w:val="32"/>
          <w:szCs w:val="32"/>
        </w:rPr>
      </w:pPr>
      <w:r w:rsidRPr="006B2DC4">
        <w:rPr>
          <w:color w:val="auto"/>
          <w:sz w:val="32"/>
          <w:szCs w:val="32"/>
        </w:rPr>
        <w:t xml:space="preserve">Recycle by special batch for zero rate items now </w:t>
      </w:r>
      <w:r w:rsidR="005003FD">
        <w:rPr>
          <w:color w:val="auto"/>
          <w:sz w:val="32"/>
          <w:szCs w:val="32"/>
        </w:rPr>
        <w:t>active.</w:t>
      </w:r>
    </w:p>
    <w:p w14:paraId="1E42BBD6" w14:textId="77777777" w:rsidR="00D92305" w:rsidRPr="006B2DC4" w:rsidRDefault="00D92305" w:rsidP="00842D0A">
      <w:pPr>
        <w:rPr>
          <w:b/>
          <w:color w:val="auto"/>
          <w:sz w:val="32"/>
          <w:szCs w:val="32"/>
        </w:rPr>
      </w:pPr>
      <w:r w:rsidRPr="006B2DC4">
        <w:rPr>
          <w:b/>
          <w:color w:val="auto"/>
          <w:sz w:val="32"/>
          <w:szCs w:val="32"/>
        </w:rPr>
        <w:t>In the News:</w:t>
      </w:r>
    </w:p>
    <w:p w14:paraId="012CB559" w14:textId="77777777" w:rsidR="00AE1E80" w:rsidRPr="006B2DC4" w:rsidRDefault="00734D1A" w:rsidP="00842D0A">
      <w:pPr>
        <w:rPr>
          <w:sz w:val="32"/>
          <w:szCs w:val="32"/>
        </w:rPr>
      </w:pPr>
      <w:r w:rsidRPr="006B2DC4">
        <w:rPr>
          <w:color w:val="auto"/>
          <w:sz w:val="32"/>
          <w:szCs w:val="32"/>
        </w:rPr>
        <w:t xml:space="preserve">Medicare is implementing </w:t>
      </w:r>
      <w:r w:rsidR="00D92305" w:rsidRPr="006B2DC4">
        <w:rPr>
          <w:color w:val="auto"/>
          <w:sz w:val="32"/>
          <w:szCs w:val="32"/>
        </w:rPr>
        <w:t xml:space="preserve">a </w:t>
      </w:r>
      <w:r w:rsidRPr="006B2DC4">
        <w:rPr>
          <w:color w:val="auto"/>
          <w:sz w:val="32"/>
          <w:szCs w:val="32"/>
        </w:rPr>
        <w:t>prior authorization program for</w:t>
      </w:r>
      <w:r w:rsidR="00D92305" w:rsidRPr="006B2DC4">
        <w:rPr>
          <w:color w:val="auto"/>
          <w:sz w:val="32"/>
          <w:szCs w:val="32"/>
        </w:rPr>
        <w:t xml:space="preserve"> items with the highest audit error rates.</w:t>
      </w:r>
    </w:p>
    <w:sectPr w:rsidR="00AE1E80" w:rsidRPr="006B2DC4">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4CF0" w14:textId="77777777" w:rsidR="00B834AA" w:rsidRDefault="00B834AA">
      <w:pPr>
        <w:spacing w:after="0"/>
      </w:pPr>
      <w:r>
        <w:separator/>
      </w:r>
    </w:p>
    <w:p w14:paraId="0C9152BB" w14:textId="77777777" w:rsidR="00B834AA" w:rsidRDefault="00B834AA"/>
    <w:p w14:paraId="3E1F849C" w14:textId="77777777" w:rsidR="00B834AA" w:rsidRDefault="00B834AA"/>
  </w:endnote>
  <w:endnote w:type="continuationSeparator" w:id="0">
    <w:p w14:paraId="5D54DD90" w14:textId="77777777" w:rsidR="00B834AA" w:rsidRDefault="00B834AA">
      <w:pPr>
        <w:spacing w:after="0"/>
      </w:pPr>
      <w:r>
        <w:continuationSeparator/>
      </w:r>
    </w:p>
    <w:p w14:paraId="1BC4D7E6" w14:textId="77777777" w:rsidR="00B834AA" w:rsidRDefault="00B834AA"/>
    <w:p w14:paraId="699B4C52" w14:textId="77777777" w:rsidR="00B834AA" w:rsidRDefault="00B8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nhem">
    <w:altName w:val="Calibri"/>
    <w:charset w:val="00"/>
    <w:family w:val="auto"/>
    <w:pitch w:val="default"/>
  </w:font>
  <w:font w:name="CN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7F6A" w14:textId="77777777" w:rsidR="00B834AA" w:rsidRDefault="00B834AA">
      <w:pPr>
        <w:spacing w:after="0"/>
      </w:pPr>
      <w:r>
        <w:separator/>
      </w:r>
    </w:p>
    <w:p w14:paraId="0041D53C" w14:textId="77777777" w:rsidR="00B834AA" w:rsidRDefault="00B834AA"/>
    <w:p w14:paraId="789E1C76" w14:textId="77777777" w:rsidR="00B834AA" w:rsidRDefault="00B834AA"/>
  </w:footnote>
  <w:footnote w:type="continuationSeparator" w:id="0">
    <w:p w14:paraId="5310E35A" w14:textId="77777777" w:rsidR="00B834AA" w:rsidRDefault="00B834AA">
      <w:pPr>
        <w:spacing w:after="0"/>
      </w:pPr>
      <w:r>
        <w:continuationSeparator/>
      </w:r>
    </w:p>
    <w:p w14:paraId="49EEC9B6" w14:textId="77777777" w:rsidR="00B834AA" w:rsidRDefault="00B834AA"/>
    <w:p w14:paraId="68BD3909" w14:textId="77777777" w:rsidR="00B834AA" w:rsidRDefault="00B83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684"/>
    </w:tblGrid>
    <w:tr w:rsidR="0001065E" w14:paraId="030C5E3B" w14:textId="77777777" w:rsidTr="007C67E1">
      <w:trPr>
        <w:jc w:val="center"/>
      </w:trPr>
      <w:tc>
        <w:tcPr>
          <w:tcW w:w="5746" w:type="dxa"/>
          <w:shd w:val="clear" w:color="auto" w:fill="auto"/>
        </w:tcPr>
        <w:p w14:paraId="7A852FF8" w14:textId="77777777" w:rsidR="0001065E" w:rsidRDefault="00F90F19">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B34A20">
                <w:t xml:space="preserve">     </w:t>
              </w:r>
            </w:sdtContent>
          </w:sdt>
          <w:r w:rsidR="00797CD0">
            <w:t xml:space="preserve"> </w:t>
          </w:r>
          <w:sdt>
            <w:sdtPr>
              <w:rPr>
                <w:color w:val="4684D0" w:themeColor="accent5"/>
              </w:r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591E88" w:rsidRPr="007C67E1">
                <w:rPr>
                  <w:color w:val="4684D0" w:themeColor="accent5"/>
                </w:rPr>
                <w:t>Pharmacy/DME Program MONTHLY News</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591E88">
                <w:rPr>
                  <w:rStyle w:val="IssueNumberChar"/>
                </w:rPr>
                <w:t>#1</w:t>
              </w:r>
            </w:sdtContent>
          </w:sdt>
          <w:r w:rsidR="00797CD0">
            <w:t xml:space="preserve"> </w:t>
          </w:r>
        </w:p>
      </w:tc>
      <w:tc>
        <w:tcPr>
          <w:tcW w:w="5684" w:type="dxa"/>
          <w:shd w:val="clear" w:color="auto" w:fill="auto"/>
        </w:tcPr>
        <w:p w14:paraId="628E2AC9" w14:textId="77777777" w:rsidR="0001065E" w:rsidRDefault="0001065E">
          <w:pPr>
            <w:pStyle w:val="Header"/>
            <w:jc w:val="right"/>
            <w:rPr>
              <w:rStyle w:val="PageNumber"/>
            </w:rPr>
          </w:pPr>
        </w:p>
      </w:tc>
    </w:tr>
  </w:tbl>
  <w:p w14:paraId="0C879E8E" w14:textId="77777777" w:rsidR="0001065E" w:rsidRDefault="00797CD0">
    <w:pPr>
      <w:pStyle w:val="NoSpacing"/>
      <w:ind w:left="-218"/>
    </w:pPr>
    <w:r>
      <mc:AlternateContent>
        <mc:Choice Requires="wps">
          <w:drawing>
            <wp:inline distT="0" distB="0" distL="0" distR="0" wp14:anchorId="5214FFB0" wp14:editId="0AA1ED4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1F9C9"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" fillcolor="#4684d0 [3208]" stroked="f" strokeweight="2pt">
              <w10:anchorlock/>
            </v:rect>
          </w:pict>
        </mc:Fallback>
      </mc:AlternateContent>
    </w:r>
  </w:p>
  <w:p w14:paraId="49DA6C01"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35260D26" w14:textId="77777777">
      <w:trPr>
        <w:cantSplit/>
      </w:trPr>
      <w:tc>
        <w:tcPr>
          <w:tcW w:w="5746" w:type="dxa"/>
          <w:vAlign w:val="bottom"/>
        </w:tcPr>
        <w:p w14:paraId="2E7E12C2" w14:textId="77777777" w:rsidR="0001065E" w:rsidRDefault="00F90F19">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B34A20">
                <w:t xml:space="preserve">     </w:t>
              </w:r>
            </w:sdtContent>
          </w:sdt>
          <w:r w:rsidR="00797CD0">
            <w:t xml:space="preserve"> </w:t>
          </w:r>
          <w:sdt>
            <w:sdtPr>
              <w:rPr>
                <w:color w:val="4684D0" w:themeColor="accent5"/>
              </w:r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591E88" w:rsidRPr="00591E88">
                <w:rPr>
                  <w:color w:val="4684D0" w:themeColor="accent5"/>
                </w:rPr>
                <w:t>Pharmacy/DME Program MONTHLY</w:t>
              </w:r>
              <w:r w:rsidR="00B34A20" w:rsidRPr="00591E88">
                <w:rPr>
                  <w:color w:val="4684D0" w:themeColor="accent5"/>
                </w:rPr>
                <w:t xml:space="preserve"> News</w:t>
              </w:r>
            </w:sdtContent>
          </w:sdt>
        </w:p>
      </w:tc>
      <w:tc>
        <w:tcPr>
          <w:tcW w:w="5746" w:type="dxa"/>
          <w:vAlign w:val="bottom"/>
        </w:tcPr>
        <w:p w14:paraId="35A279C3" w14:textId="77777777" w:rsidR="0001065E" w:rsidRDefault="00797CD0">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00591E88">
                <w:t>#1</w:t>
              </w:r>
            </w:sdtContent>
          </w:sdt>
          <w:r>
            <w:t xml:space="preserve"> </w:t>
          </w:r>
        </w:p>
      </w:tc>
    </w:tr>
  </w:tbl>
  <w:p w14:paraId="0FD34672" w14:textId="77777777" w:rsidR="0001065E" w:rsidRDefault="00591E88">
    <w:pPr>
      <w:pStyle w:val="NoSpacing"/>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601813"/>
    <w:multiLevelType w:val="hybridMultilevel"/>
    <w:tmpl w:val="A27ABC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3D"/>
    <w:rsid w:val="0001065E"/>
    <w:rsid w:val="00172E26"/>
    <w:rsid w:val="0019519A"/>
    <w:rsid w:val="001B56EA"/>
    <w:rsid w:val="00211317"/>
    <w:rsid w:val="00250D28"/>
    <w:rsid w:val="00276F88"/>
    <w:rsid w:val="00326617"/>
    <w:rsid w:val="003304C6"/>
    <w:rsid w:val="00367064"/>
    <w:rsid w:val="004519DD"/>
    <w:rsid w:val="005003FD"/>
    <w:rsid w:val="005139D2"/>
    <w:rsid w:val="00591E88"/>
    <w:rsid w:val="005C7E6D"/>
    <w:rsid w:val="006053A3"/>
    <w:rsid w:val="00646E3B"/>
    <w:rsid w:val="00650CB9"/>
    <w:rsid w:val="00674F87"/>
    <w:rsid w:val="00686B32"/>
    <w:rsid w:val="0069434D"/>
    <w:rsid w:val="006A46E6"/>
    <w:rsid w:val="006B2DC4"/>
    <w:rsid w:val="006B4D27"/>
    <w:rsid w:val="00734D1A"/>
    <w:rsid w:val="00755C6A"/>
    <w:rsid w:val="00797CD0"/>
    <w:rsid w:val="007A1FAC"/>
    <w:rsid w:val="007C67E1"/>
    <w:rsid w:val="00842D0A"/>
    <w:rsid w:val="008506E9"/>
    <w:rsid w:val="00875C3D"/>
    <w:rsid w:val="00997BB1"/>
    <w:rsid w:val="00A0683D"/>
    <w:rsid w:val="00A2103F"/>
    <w:rsid w:val="00AC0A4D"/>
    <w:rsid w:val="00AE1E80"/>
    <w:rsid w:val="00B34A20"/>
    <w:rsid w:val="00B731EC"/>
    <w:rsid w:val="00B834AA"/>
    <w:rsid w:val="00BA0624"/>
    <w:rsid w:val="00BA1079"/>
    <w:rsid w:val="00C0747D"/>
    <w:rsid w:val="00C93304"/>
    <w:rsid w:val="00CE416D"/>
    <w:rsid w:val="00D53C5E"/>
    <w:rsid w:val="00D551AC"/>
    <w:rsid w:val="00D92305"/>
    <w:rsid w:val="00F63A92"/>
    <w:rsid w:val="00F84763"/>
    <w:rsid w:val="00FB2541"/>
    <w:rsid w:val="00FD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648D2"/>
  <w15:docId w15:val="{617B720B-416F-49DA-879D-857EFF71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styleId="UnresolvedMention">
    <w:name w:val="Unresolved Mention"/>
    <w:basedOn w:val="DefaultParagraphFont"/>
    <w:uiPriority w:val="99"/>
    <w:semiHidden/>
    <w:unhideWhenUsed/>
    <w:rsid w:val="003304C6"/>
    <w:rPr>
      <w:color w:val="808080"/>
      <w:shd w:val="clear" w:color="auto" w:fill="E6E6E6"/>
    </w:rPr>
  </w:style>
  <w:style w:type="paragraph" w:styleId="ListParagraph">
    <w:name w:val="List Paragraph"/>
    <w:basedOn w:val="Normal"/>
    <w:uiPriority w:val="34"/>
    <w:qFormat/>
    <w:rsid w:val="00D9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299999">
      <w:bodyDiv w:val="1"/>
      <w:marLeft w:val="0"/>
      <w:marRight w:val="0"/>
      <w:marTop w:val="0"/>
      <w:marBottom w:val="0"/>
      <w:divBdr>
        <w:top w:val="none" w:sz="0" w:space="0" w:color="auto"/>
        <w:left w:val="none" w:sz="0" w:space="0" w:color="auto"/>
        <w:bottom w:val="none" w:sz="0" w:space="0" w:color="auto"/>
        <w:right w:val="none" w:sz="0" w:space="0" w:color="auto"/>
      </w:divBdr>
      <w:divsChild>
        <w:div w:id="1368720428">
          <w:marLeft w:val="0"/>
          <w:marRight w:val="0"/>
          <w:marTop w:val="0"/>
          <w:marBottom w:val="0"/>
          <w:divBdr>
            <w:top w:val="none" w:sz="0" w:space="0" w:color="auto"/>
            <w:left w:val="none" w:sz="0" w:space="0" w:color="auto"/>
            <w:bottom w:val="none" w:sz="0" w:space="0" w:color="auto"/>
            <w:right w:val="none" w:sz="0" w:space="0" w:color="auto"/>
          </w:divBdr>
          <w:divsChild>
            <w:div w:id="1212113068">
              <w:marLeft w:val="0"/>
              <w:marRight w:val="0"/>
              <w:marTop w:val="0"/>
              <w:marBottom w:val="0"/>
              <w:divBdr>
                <w:top w:val="none" w:sz="0" w:space="0" w:color="auto"/>
                <w:left w:val="none" w:sz="0" w:space="0" w:color="auto"/>
                <w:bottom w:val="none" w:sz="0" w:space="0" w:color="auto"/>
                <w:right w:val="none" w:sz="0" w:space="0" w:color="auto"/>
              </w:divBdr>
              <w:divsChild>
                <w:div w:id="460265612">
                  <w:marLeft w:val="0"/>
                  <w:marRight w:val="0"/>
                  <w:marTop w:val="0"/>
                  <w:marBottom w:val="0"/>
                  <w:divBdr>
                    <w:top w:val="none" w:sz="0" w:space="0" w:color="auto"/>
                    <w:left w:val="none" w:sz="0" w:space="0" w:color="auto"/>
                    <w:bottom w:val="none" w:sz="0" w:space="0" w:color="auto"/>
                    <w:right w:val="none" w:sz="0" w:space="0" w:color="auto"/>
                  </w:divBdr>
                  <w:divsChild>
                    <w:div w:id="76905034">
                      <w:marLeft w:val="0"/>
                      <w:marRight w:val="0"/>
                      <w:marTop w:val="0"/>
                      <w:marBottom w:val="0"/>
                      <w:divBdr>
                        <w:top w:val="none" w:sz="0" w:space="0" w:color="auto"/>
                        <w:left w:val="none" w:sz="0" w:space="0" w:color="auto"/>
                        <w:bottom w:val="none" w:sz="0" w:space="0" w:color="auto"/>
                        <w:right w:val="none" w:sz="0" w:space="0" w:color="auto"/>
                      </w:divBdr>
                      <w:divsChild>
                        <w:div w:id="1017199263">
                          <w:marLeft w:val="0"/>
                          <w:marRight w:val="0"/>
                          <w:marTop w:val="0"/>
                          <w:marBottom w:val="0"/>
                          <w:divBdr>
                            <w:top w:val="none" w:sz="0" w:space="0" w:color="auto"/>
                            <w:left w:val="none" w:sz="0" w:space="0" w:color="auto"/>
                            <w:bottom w:val="none" w:sz="0" w:space="0" w:color="auto"/>
                            <w:right w:val="none" w:sz="0" w:space="0" w:color="auto"/>
                          </w:divBdr>
                          <w:divsChild>
                            <w:div w:id="2116124319">
                              <w:marLeft w:val="0"/>
                              <w:marRight w:val="0"/>
                              <w:marTop w:val="0"/>
                              <w:marBottom w:val="0"/>
                              <w:divBdr>
                                <w:top w:val="none" w:sz="0" w:space="0" w:color="auto"/>
                                <w:left w:val="none" w:sz="0" w:space="0" w:color="auto"/>
                                <w:bottom w:val="none" w:sz="0" w:space="0" w:color="auto"/>
                                <w:right w:val="none" w:sz="0" w:space="0" w:color="auto"/>
                              </w:divBdr>
                              <w:divsChild>
                                <w:div w:id="8380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05035">
      <w:bodyDiv w:val="1"/>
      <w:marLeft w:val="0"/>
      <w:marRight w:val="0"/>
      <w:marTop w:val="0"/>
      <w:marBottom w:val="0"/>
      <w:divBdr>
        <w:top w:val="none" w:sz="0" w:space="0" w:color="auto"/>
        <w:left w:val="none" w:sz="0" w:space="0" w:color="auto"/>
        <w:bottom w:val="none" w:sz="0" w:space="0" w:color="auto"/>
        <w:right w:val="none" w:sz="0" w:space="0" w:color="auto"/>
      </w:divBdr>
      <w:divsChild>
        <w:div w:id="1044913207">
          <w:marLeft w:val="-150"/>
          <w:marRight w:val="-150"/>
          <w:marTop w:val="0"/>
          <w:marBottom w:val="0"/>
          <w:divBdr>
            <w:top w:val="none" w:sz="0" w:space="0" w:color="auto"/>
            <w:left w:val="none" w:sz="0" w:space="0" w:color="auto"/>
            <w:bottom w:val="none" w:sz="0" w:space="0" w:color="auto"/>
            <w:right w:val="none" w:sz="0" w:space="0" w:color="auto"/>
          </w:divBdr>
          <w:divsChild>
            <w:div w:id="1962877102">
              <w:marLeft w:val="0"/>
              <w:marRight w:val="0"/>
              <w:marTop w:val="0"/>
              <w:marBottom w:val="600"/>
              <w:divBdr>
                <w:top w:val="none" w:sz="0" w:space="0" w:color="auto"/>
                <w:left w:val="none" w:sz="0" w:space="0" w:color="auto"/>
                <w:bottom w:val="none" w:sz="0" w:space="0" w:color="auto"/>
                <w:right w:val="none" w:sz="0" w:space="0" w:color="auto"/>
              </w:divBdr>
              <w:divsChild>
                <w:div w:id="8110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0061456">
      <w:bodyDiv w:val="1"/>
      <w:marLeft w:val="0"/>
      <w:marRight w:val="0"/>
      <w:marTop w:val="0"/>
      <w:marBottom w:val="0"/>
      <w:divBdr>
        <w:top w:val="none" w:sz="0" w:space="0" w:color="auto"/>
        <w:left w:val="none" w:sz="0" w:space="0" w:color="auto"/>
        <w:bottom w:val="none" w:sz="0" w:space="0" w:color="auto"/>
        <w:right w:val="none" w:sz="0" w:space="0" w:color="auto"/>
      </w:divBdr>
      <w:divsChild>
        <w:div w:id="129591631">
          <w:marLeft w:val="0"/>
          <w:marRight w:val="0"/>
          <w:marTop w:val="150"/>
          <w:marBottom w:val="0"/>
          <w:divBdr>
            <w:top w:val="single" w:sz="48" w:space="0" w:color="466C92"/>
            <w:left w:val="single" w:sz="48" w:space="0" w:color="466C92"/>
            <w:bottom w:val="single" w:sz="48" w:space="0" w:color="466C92"/>
            <w:right w:val="single" w:sz="48" w:space="0" w:color="466C92"/>
          </w:divBdr>
          <w:divsChild>
            <w:div w:id="1093743843">
              <w:marLeft w:val="0"/>
              <w:marRight w:val="0"/>
              <w:marTop w:val="0"/>
              <w:marBottom w:val="0"/>
              <w:divBdr>
                <w:top w:val="none" w:sz="0" w:space="0" w:color="auto"/>
                <w:left w:val="none" w:sz="0" w:space="0" w:color="auto"/>
                <w:bottom w:val="none" w:sz="0" w:space="0" w:color="auto"/>
                <w:right w:val="none" w:sz="0" w:space="0" w:color="auto"/>
              </w:divBdr>
              <w:divsChild>
                <w:div w:id="80761716">
                  <w:marLeft w:val="0"/>
                  <w:marRight w:val="0"/>
                  <w:marTop w:val="0"/>
                  <w:marBottom w:val="0"/>
                  <w:divBdr>
                    <w:top w:val="none" w:sz="0" w:space="0" w:color="auto"/>
                    <w:left w:val="none" w:sz="0" w:space="0" w:color="auto"/>
                    <w:bottom w:val="none" w:sz="0" w:space="0" w:color="auto"/>
                    <w:right w:val="none" w:sz="0" w:space="0" w:color="auto"/>
                  </w:divBdr>
                </w:div>
                <w:div w:id="9668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87346702">
      <w:bodyDiv w:val="1"/>
      <w:marLeft w:val="0"/>
      <w:marRight w:val="0"/>
      <w:marTop w:val="0"/>
      <w:marBottom w:val="0"/>
      <w:divBdr>
        <w:top w:val="none" w:sz="0" w:space="0" w:color="auto"/>
        <w:left w:val="none" w:sz="0" w:space="0" w:color="auto"/>
        <w:bottom w:val="none" w:sz="0" w:space="0" w:color="auto"/>
        <w:right w:val="none" w:sz="0" w:space="0" w:color="auto"/>
      </w:divBdr>
      <w:divsChild>
        <w:div w:id="1965231639">
          <w:marLeft w:val="-150"/>
          <w:marRight w:val="-150"/>
          <w:marTop w:val="0"/>
          <w:marBottom w:val="0"/>
          <w:divBdr>
            <w:top w:val="none" w:sz="0" w:space="0" w:color="auto"/>
            <w:left w:val="none" w:sz="0" w:space="0" w:color="auto"/>
            <w:bottom w:val="none" w:sz="0" w:space="0" w:color="auto"/>
            <w:right w:val="none" w:sz="0" w:space="0" w:color="auto"/>
          </w:divBdr>
          <w:divsChild>
            <w:div w:id="777456107">
              <w:marLeft w:val="0"/>
              <w:marRight w:val="0"/>
              <w:marTop w:val="0"/>
              <w:marBottom w:val="600"/>
              <w:divBdr>
                <w:top w:val="none" w:sz="0" w:space="0" w:color="auto"/>
                <w:left w:val="none" w:sz="0" w:space="0" w:color="auto"/>
                <w:bottom w:val="none" w:sz="0" w:space="0" w:color="auto"/>
                <w:right w:val="none" w:sz="0" w:space="0" w:color="auto"/>
              </w:divBdr>
              <w:divsChild>
                <w:div w:id="1782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2851480">
      <w:bodyDiv w:val="1"/>
      <w:marLeft w:val="0"/>
      <w:marRight w:val="0"/>
      <w:marTop w:val="0"/>
      <w:marBottom w:val="0"/>
      <w:divBdr>
        <w:top w:val="none" w:sz="0" w:space="0" w:color="auto"/>
        <w:left w:val="none" w:sz="0" w:space="0" w:color="auto"/>
        <w:bottom w:val="none" w:sz="0" w:space="0" w:color="auto"/>
        <w:right w:val="none" w:sz="0" w:space="0" w:color="auto"/>
      </w:divBdr>
      <w:divsChild>
        <w:div w:id="1392071571">
          <w:marLeft w:val="0"/>
          <w:marRight w:val="0"/>
          <w:marTop w:val="0"/>
          <w:marBottom w:val="0"/>
          <w:divBdr>
            <w:top w:val="none" w:sz="0" w:space="0" w:color="auto"/>
            <w:left w:val="none" w:sz="0" w:space="0" w:color="auto"/>
            <w:bottom w:val="none" w:sz="0" w:space="0" w:color="auto"/>
            <w:right w:val="none" w:sz="0" w:space="0" w:color="auto"/>
          </w:divBdr>
          <w:divsChild>
            <w:div w:id="2036345571">
              <w:marLeft w:val="0"/>
              <w:marRight w:val="0"/>
              <w:marTop w:val="0"/>
              <w:marBottom w:val="0"/>
              <w:divBdr>
                <w:top w:val="none" w:sz="0" w:space="0" w:color="auto"/>
                <w:left w:val="none" w:sz="0" w:space="0" w:color="auto"/>
                <w:bottom w:val="none" w:sz="0" w:space="0" w:color="auto"/>
                <w:right w:val="none" w:sz="0" w:space="0" w:color="auto"/>
              </w:divBdr>
              <w:divsChild>
                <w:div w:id="2130127311">
                  <w:marLeft w:val="0"/>
                  <w:marRight w:val="0"/>
                  <w:marTop w:val="0"/>
                  <w:marBottom w:val="0"/>
                  <w:divBdr>
                    <w:top w:val="none" w:sz="0" w:space="0" w:color="auto"/>
                    <w:left w:val="none" w:sz="0" w:space="0" w:color="auto"/>
                    <w:bottom w:val="none" w:sz="0" w:space="0" w:color="auto"/>
                    <w:right w:val="none" w:sz="0" w:space="0" w:color="auto"/>
                  </w:divBdr>
                  <w:divsChild>
                    <w:div w:id="182062287">
                      <w:marLeft w:val="0"/>
                      <w:marRight w:val="0"/>
                      <w:marTop w:val="0"/>
                      <w:marBottom w:val="0"/>
                      <w:divBdr>
                        <w:top w:val="none" w:sz="0" w:space="0" w:color="auto"/>
                        <w:left w:val="none" w:sz="0" w:space="0" w:color="auto"/>
                        <w:bottom w:val="none" w:sz="0" w:space="0" w:color="auto"/>
                        <w:right w:val="none" w:sz="0" w:space="0" w:color="auto"/>
                      </w:divBdr>
                      <w:divsChild>
                        <w:div w:id="768429131">
                          <w:marLeft w:val="0"/>
                          <w:marRight w:val="0"/>
                          <w:marTop w:val="0"/>
                          <w:marBottom w:val="0"/>
                          <w:divBdr>
                            <w:top w:val="none" w:sz="0" w:space="0" w:color="auto"/>
                            <w:left w:val="none" w:sz="0" w:space="0" w:color="auto"/>
                            <w:bottom w:val="none" w:sz="0" w:space="0" w:color="auto"/>
                            <w:right w:val="none" w:sz="0" w:space="0" w:color="auto"/>
                          </w:divBdr>
                          <w:divsChild>
                            <w:div w:id="377439074">
                              <w:marLeft w:val="0"/>
                              <w:marRight w:val="0"/>
                              <w:marTop w:val="0"/>
                              <w:marBottom w:val="0"/>
                              <w:divBdr>
                                <w:top w:val="none" w:sz="0" w:space="0" w:color="auto"/>
                                <w:left w:val="none" w:sz="0" w:space="0" w:color="auto"/>
                                <w:bottom w:val="none" w:sz="0" w:space="0" w:color="auto"/>
                                <w:right w:val="none" w:sz="0" w:space="0" w:color="auto"/>
                              </w:divBdr>
                              <w:divsChild>
                                <w:div w:id="1802110713">
                                  <w:marLeft w:val="-225"/>
                                  <w:marRight w:val="-225"/>
                                  <w:marTop w:val="0"/>
                                  <w:marBottom w:val="0"/>
                                  <w:divBdr>
                                    <w:top w:val="none" w:sz="0" w:space="0" w:color="auto"/>
                                    <w:left w:val="none" w:sz="0" w:space="0" w:color="auto"/>
                                    <w:bottom w:val="none" w:sz="0" w:space="0" w:color="auto"/>
                                    <w:right w:val="none" w:sz="0" w:space="0" w:color="auto"/>
                                  </w:divBdr>
                                  <w:divsChild>
                                    <w:div w:id="11937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5133755">
      <w:bodyDiv w:val="1"/>
      <w:marLeft w:val="0"/>
      <w:marRight w:val="0"/>
      <w:marTop w:val="0"/>
      <w:marBottom w:val="0"/>
      <w:divBdr>
        <w:top w:val="none" w:sz="0" w:space="0" w:color="auto"/>
        <w:left w:val="none" w:sz="0" w:space="0" w:color="auto"/>
        <w:bottom w:val="none" w:sz="0" w:space="0" w:color="auto"/>
        <w:right w:val="none" w:sz="0" w:space="0" w:color="auto"/>
      </w:divBdr>
      <w:divsChild>
        <w:div w:id="2112356599">
          <w:marLeft w:val="0"/>
          <w:marRight w:val="0"/>
          <w:marTop w:val="0"/>
          <w:marBottom w:val="0"/>
          <w:divBdr>
            <w:top w:val="none" w:sz="0" w:space="0" w:color="auto"/>
            <w:left w:val="none" w:sz="0" w:space="0" w:color="auto"/>
            <w:bottom w:val="none" w:sz="0" w:space="0" w:color="auto"/>
            <w:right w:val="none" w:sz="0" w:space="0" w:color="auto"/>
          </w:divBdr>
          <w:divsChild>
            <w:div w:id="1957448836">
              <w:marLeft w:val="0"/>
              <w:marRight w:val="0"/>
              <w:marTop w:val="0"/>
              <w:marBottom w:val="0"/>
              <w:divBdr>
                <w:top w:val="none" w:sz="0" w:space="0" w:color="auto"/>
                <w:left w:val="none" w:sz="0" w:space="0" w:color="auto"/>
                <w:bottom w:val="none" w:sz="0" w:space="0" w:color="auto"/>
                <w:right w:val="none" w:sz="0" w:space="0" w:color="auto"/>
              </w:divBdr>
              <w:divsChild>
                <w:div w:id="2057386124">
                  <w:marLeft w:val="0"/>
                  <w:marRight w:val="0"/>
                  <w:marTop w:val="0"/>
                  <w:marBottom w:val="0"/>
                  <w:divBdr>
                    <w:top w:val="none" w:sz="0" w:space="0" w:color="auto"/>
                    <w:left w:val="none" w:sz="0" w:space="0" w:color="auto"/>
                    <w:bottom w:val="none" w:sz="0" w:space="0" w:color="auto"/>
                    <w:right w:val="none" w:sz="0" w:space="0" w:color="auto"/>
                  </w:divBdr>
                  <w:divsChild>
                    <w:div w:id="1600214315">
                      <w:marLeft w:val="0"/>
                      <w:marRight w:val="0"/>
                      <w:marTop w:val="0"/>
                      <w:marBottom w:val="0"/>
                      <w:divBdr>
                        <w:top w:val="none" w:sz="0" w:space="0" w:color="auto"/>
                        <w:left w:val="none" w:sz="0" w:space="0" w:color="auto"/>
                        <w:bottom w:val="none" w:sz="0" w:space="0" w:color="auto"/>
                        <w:right w:val="none" w:sz="0" w:space="0" w:color="auto"/>
                      </w:divBdr>
                      <w:divsChild>
                        <w:div w:id="26610077">
                          <w:marLeft w:val="0"/>
                          <w:marRight w:val="0"/>
                          <w:marTop w:val="0"/>
                          <w:marBottom w:val="0"/>
                          <w:divBdr>
                            <w:top w:val="none" w:sz="0" w:space="0" w:color="auto"/>
                            <w:left w:val="none" w:sz="0" w:space="0" w:color="auto"/>
                            <w:bottom w:val="none" w:sz="0" w:space="0" w:color="auto"/>
                            <w:right w:val="none" w:sz="0" w:space="0" w:color="auto"/>
                          </w:divBdr>
                          <w:divsChild>
                            <w:div w:id="118030793">
                              <w:marLeft w:val="0"/>
                              <w:marRight w:val="0"/>
                              <w:marTop w:val="0"/>
                              <w:marBottom w:val="0"/>
                              <w:divBdr>
                                <w:top w:val="none" w:sz="0" w:space="0" w:color="auto"/>
                                <w:left w:val="none" w:sz="0" w:space="0" w:color="auto"/>
                                <w:bottom w:val="none" w:sz="0" w:space="0" w:color="auto"/>
                                <w:right w:val="none" w:sz="0" w:space="0" w:color="auto"/>
                              </w:divBdr>
                              <w:divsChild>
                                <w:div w:id="15146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oney.cnn.com/quote/quote.html?symb=ESRX&amp;source=story_quote_link"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oney.cnn.com/quote/quote.html?symb=CI&amp;source=story_quote_link" TargetMode="External"/><Relationship Id="rId2" Type="http://schemas.openxmlformats.org/officeDocument/2006/relationships/customXml" Target="../customXml/item2.xml"/><Relationship Id="rId16" Type="http://schemas.openxmlformats.org/officeDocument/2006/relationships/hyperlink" Target="http://money.cnn.com/2018/06/19/news/companies/cvs-pharmacy-nationwide-delivery/index.html?iid=EL" TargetMode="External"/><Relationship Id="rId20" Type="http://schemas.openxmlformats.org/officeDocument/2006/relationships/hyperlink" Target="https://www.fda.gov/Drugs/InformationOnDrugs/ucm14243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ederalregister.gov/documents/2018/08/07/2018-16807/future-format-of-the-national-drug-code-public-hearing-request-for-com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lamowitz\Desktop\SAMPL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9B4CF7C1B948DC90B1C2DCBEE23851"/>
        <w:category>
          <w:name w:val="General"/>
          <w:gallery w:val="placeholder"/>
        </w:category>
        <w:types>
          <w:type w:val="bbPlcHdr"/>
        </w:types>
        <w:behaviors>
          <w:behavior w:val="content"/>
        </w:behaviors>
        <w:guid w:val="{0E1A7A6A-FC3A-4CAC-AABE-D5576AA03CC9}"/>
      </w:docPartPr>
      <w:docPartBody>
        <w:p w:rsidR="00AA0042" w:rsidRDefault="00CA278A">
          <w:pPr>
            <w:pStyle w:val="F69B4CF7C1B948DC90B1C2DCBEE23851"/>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nhem">
    <w:altName w:val="Calibri"/>
    <w:charset w:val="00"/>
    <w:family w:val="auto"/>
    <w:pitch w:val="default"/>
  </w:font>
  <w:font w:name="CNN">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8A"/>
    <w:rsid w:val="0049555E"/>
    <w:rsid w:val="00757EE1"/>
    <w:rsid w:val="00791E90"/>
    <w:rsid w:val="00A51618"/>
    <w:rsid w:val="00AA0042"/>
    <w:rsid w:val="00CA278A"/>
    <w:rsid w:val="00E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B4CF7C1B948DC90B1C2DCBEE23851">
    <w:name w:val="F69B4CF7C1B948DC90B1C2DCBEE23851"/>
  </w:style>
  <w:style w:type="paragraph" w:customStyle="1" w:styleId="B6D68E9E07994AC0AA6075B244ABC72B">
    <w:name w:val="B6D68E9E07994AC0AA6075B244ABC72B"/>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Pr>
      <w:b/>
      <w:bCs/>
    </w:rPr>
  </w:style>
  <w:style w:type="paragraph" w:customStyle="1" w:styleId="CF8275E8EBB2425AB99ED57F58AF1FC1">
    <w:name w:val="CF8275E8EBB2425AB99ED57F58AF1FC1"/>
  </w:style>
  <w:style w:type="paragraph" w:customStyle="1" w:styleId="8317BF990DE34C9BACF76FAFA2264730">
    <w:name w:val="8317BF990DE34C9BACF76FAFA2264730"/>
  </w:style>
  <w:style w:type="paragraph" w:customStyle="1" w:styleId="57196A26BDDA415CB755BF9618F6C421">
    <w:name w:val="57196A26BDDA415CB755BF9618F6C421"/>
  </w:style>
  <w:style w:type="character" w:styleId="PageNumber">
    <w:name w:val="page number"/>
    <w:basedOn w:val="DefaultParagraphFont"/>
    <w:uiPriority w:val="99"/>
    <w:qFormat/>
    <w:rPr>
      <w:rFonts w:asciiTheme="minorHAnsi" w:hAnsiTheme="minorHAnsi"/>
      <w:color w:val="4472C4" w:themeColor="accent1"/>
      <w:sz w:val="20"/>
    </w:rPr>
  </w:style>
  <w:style w:type="paragraph" w:customStyle="1" w:styleId="CE1F757474BB4762978BC72D4B3204C1">
    <w:name w:val="CE1F757474BB4762978BC72D4B3204C1"/>
  </w:style>
  <w:style w:type="paragraph" w:customStyle="1" w:styleId="4EE9616C31FE459D9D95EF1EEFFE00C3">
    <w:name w:val="4EE9616C31FE459D9D95EF1EEFFE00C3"/>
  </w:style>
  <w:style w:type="paragraph" w:customStyle="1" w:styleId="BCCE715D2DE74BE699DFDD55C8B934BB">
    <w:name w:val="BCCE715D2DE74BE699DFDD55C8B934BB"/>
  </w:style>
  <w:style w:type="paragraph" w:customStyle="1" w:styleId="FE9DE933997246789F1237AD7ADE6BE7">
    <w:name w:val="FE9DE933997246789F1237AD7ADE6BE7"/>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C50633B28A9245139C694A48D822370F">
    <w:name w:val="C50633B28A9245139C694A48D822370F"/>
  </w:style>
  <w:style w:type="paragraph" w:customStyle="1" w:styleId="C960425205914E6F95B574AF6587061D">
    <w:name w:val="C960425205914E6F95B574AF6587061D"/>
  </w:style>
  <w:style w:type="paragraph" w:customStyle="1" w:styleId="8E1297B442444FFEBF894A36C3A80CD9">
    <w:name w:val="8E1297B442444FFEBF894A36C3A80CD9"/>
  </w:style>
  <w:style w:type="paragraph" w:customStyle="1" w:styleId="E361CF680E2A46EDBCEDDB76014B225D">
    <w:name w:val="E361CF680E2A46EDBCEDDB76014B225D"/>
  </w:style>
  <w:style w:type="paragraph" w:customStyle="1" w:styleId="71B9801179134B53B2699CF0DBC9949C">
    <w:name w:val="71B9801179134B53B2699CF0DBC9949C"/>
  </w:style>
  <w:style w:type="paragraph" w:customStyle="1" w:styleId="EF4A066AF22646BA841EA947CA8CEE34">
    <w:name w:val="EF4A066AF22646BA841EA947CA8CEE34"/>
  </w:style>
  <w:style w:type="paragraph" w:customStyle="1" w:styleId="CF754E8A8D74498A934D816449F83DE6">
    <w:name w:val="CF754E8A8D74498A934D816449F83DE6"/>
  </w:style>
  <w:style w:type="paragraph" w:customStyle="1" w:styleId="E23F7E71D1E84243B866C9783AB15323">
    <w:name w:val="E23F7E71D1E84243B866C9783AB15323"/>
  </w:style>
  <w:style w:type="paragraph" w:customStyle="1" w:styleId="516D6879E82D489CB27535906045FDB1">
    <w:name w:val="516D6879E82D489CB27535906045FDB1"/>
  </w:style>
  <w:style w:type="paragraph" w:customStyle="1" w:styleId="8F1774C83BD847A8B53972632903BDC1">
    <w:name w:val="8F1774C83BD847A8B53972632903BDC1"/>
  </w:style>
  <w:style w:type="paragraph" w:customStyle="1" w:styleId="7E5B6F93B2F04694BED7C00D592CCDD2">
    <w:name w:val="7E5B6F93B2F04694BED7C00D592CCDD2"/>
  </w:style>
  <w:style w:type="paragraph" w:customStyle="1" w:styleId="D50DC114C3EA4FB99FC66D3BB642B30C">
    <w:name w:val="D50DC114C3EA4FB99FC66D3BB642B30C"/>
  </w:style>
  <w:style w:type="paragraph" w:customStyle="1" w:styleId="ABA10479DF56440CB57DE2847B0173F0">
    <w:name w:val="ABA10479DF56440CB57DE2847B0173F0"/>
  </w:style>
  <w:style w:type="paragraph" w:customStyle="1" w:styleId="5632117C83A447CE8CAEEFA3275376B5">
    <w:name w:val="5632117C83A447CE8CAEEFA3275376B5"/>
  </w:style>
  <w:style w:type="paragraph" w:customStyle="1" w:styleId="9DFDEA9F368742BBBEC44ADA7C3C022E">
    <w:name w:val="9DFDEA9F368742BBBEC44ADA7C3C022E"/>
  </w:style>
  <w:style w:type="paragraph" w:customStyle="1" w:styleId="623C2E8B8D954ED195D7C5FB7C2F2F5A">
    <w:name w:val="623C2E8B8D954ED195D7C5FB7C2F2F5A"/>
  </w:style>
  <w:style w:type="paragraph" w:customStyle="1" w:styleId="9F713D3CD0AE4B229A2B8E546AE5BF2C">
    <w:name w:val="9F713D3CD0AE4B229A2B8E546AE5BF2C"/>
  </w:style>
  <w:style w:type="paragraph" w:customStyle="1" w:styleId="86B685F9860043A09412A0E965686AAF">
    <w:name w:val="86B685F9860043A09412A0E965686AAF"/>
  </w:style>
  <w:style w:type="paragraph" w:customStyle="1" w:styleId="7942D168521847D08B7040B315D6E89F">
    <w:name w:val="7942D168521847D08B7040B315D6E89F"/>
  </w:style>
  <w:style w:type="paragraph" w:customStyle="1" w:styleId="45429409AE08436FACA7EAE438834B05">
    <w:name w:val="45429409AE08436FACA7EAE438834B05"/>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ECFC3D3E8DF84AE9893F03CCEFDAB398">
    <w:name w:val="ECFC3D3E8DF84AE9893F03CCEFDAB398"/>
  </w:style>
  <w:style w:type="paragraph" w:customStyle="1" w:styleId="B458D2654F034E018B0AD2405CA4DCEE">
    <w:name w:val="B458D2654F034E018B0AD2405CA4DCEE"/>
  </w:style>
  <w:style w:type="paragraph" w:customStyle="1" w:styleId="4A76993A5764403BA0DBC00BF168583A">
    <w:name w:val="4A76993A5764403BA0DBC00BF168583A"/>
  </w:style>
  <w:style w:type="paragraph" w:customStyle="1" w:styleId="E7AE5A6765444511A91504047D59E91A">
    <w:name w:val="E7AE5A6765444511A91504047D59E91A"/>
  </w:style>
  <w:style w:type="paragraph" w:customStyle="1" w:styleId="56EE045F580044CC86E854E6E91A8595">
    <w:name w:val="56EE045F580044CC86E854E6E91A8595"/>
  </w:style>
  <w:style w:type="paragraph" w:customStyle="1" w:styleId="2DE30CFB6C544AD896AD7C4E95BE2BF7">
    <w:name w:val="2DE30CFB6C544AD896AD7C4E95BE2BF7"/>
  </w:style>
  <w:style w:type="paragraph" w:customStyle="1" w:styleId="10778A0EBF854E93A60EF2B23642A3EE">
    <w:name w:val="10778A0EBF854E93A60EF2B23642A3EE"/>
  </w:style>
  <w:style w:type="paragraph" w:customStyle="1" w:styleId="50897157119A45CE91E0DDD90ACF7229">
    <w:name w:val="50897157119A45CE91E0DDD90ACF7229"/>
  </w:style>
  <w:style w:type="character" w:styleId="PlaceholderText">
    <w:name w:val="Placeholder Text"/>
    <w:basedOn w:val="DefaultParagraphFont"/>
    <w:uiPriority w:val="99"/>
    <w:semiHidden/>
    <w:rPr>
      <w:color w:val="808080"/>
    </w:rPr>
  </w:style>
  <w:style w:type="paragraph" w:customStyle="1" w:styleId="2C425090E8424E2BADC27B6D0D1C79DB">
    <w:name w:val="2C425090E8424E2BADC27B6D0D1C79DB"/>
  </w:style>
  <w:style w:type="paragraph" w:customStyle="1" w:styleId="949D9B40DB6C4BEE94A4FBC04E794B35">
    <w:name w:val="949D9B40DB6C4BEE94A4FBC04E794B35"/>
  </w:style>
  <w:style w:type="paragraph" w:customStyle="1" w:styleId="90D0294AFD5E4EC0B6851BB90A4C9721">
    <w:name w:val="90D0294AFD5E4EC0B6851BB90A4C9721"/>
  </w:style>
  <w:style w:type="paragraph" w:customStyle="1" w:styleId="D22FC635C41E422CA49CD06679054DFD">
    <w:name w:val="D22FC635C41E422CA49CD06679054DFD"/>
  </w:style>
  <w:style w:type="paragraph" w:customStyle="1" w:styleId="F382A7B0DE964A938FCF278261477A36">
    <w:name w:val="F382A7B0DE964A938FCF278261477A36"/>
  </w:style>
  <w:style w:type="paragraph" w:customStyle="1" w:styleId="BBF97335474641BC99F35C60A8581CF0">
    <w:name w:val="BBF97335474641BC99F35C60A8581CF0"/>
  </w:style>
  <w:style w:type="paragraph" w:customStyle="1" w:styleId="DCB32B0BBD184D90B4EBA71133535FBE">
    <w:name w:val="DCB32B0BBD184D90B4EBA71133535FBE"/>
  </w:style>
  <w:style w:type="paragraph" w:customStyle="1" w:styleId="10C6042C1150488792E925A880593832">
    <w:name w:val="10C6042C1150488792E925A880593832"/>
  </w:style>
  <w:style w:type="paragraph" w:customStyle="1" w:styleId="0436D0FE8D85458181077990C0A93656">
    <w:name w:val="0436D0FE8D85458181077990C0A93656"/>
  </w:style>
  <w:style w:type="paragraph" w:customStyle="1" w:styleId="3DA91DC5BBDA4A1A84747C84781CD8CB">
    <w:name w:val="3DA91DC5BBDA4A1A84747C84781CD8CB"/>
  </w:style>
  <w:style w:type="paragraph" w:customStyle="1" w:styleId="79A3E6FD323B4E5597D9469386D11615">
    <w:name w:val="79A3E6FD323B4E5597D9469386D11615"/>
  </w:style>
  <w:style w:type="paragraph" w:customStyle="1" w:styleId="BAA23F4A7A254105AC6AED5D88FDF71E">
    <w:name w:val="BAA23F4A7A254105AC6AED5D88FDF71E"/>
  </w:style>
  <w:style w:type="paragraph" w:customStyle="1" w:styleId="F0ABAD17F6FE42B09961295A37836D94">
    <w:name w:val="F0ABAD17F6FE42B09961295A37836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AF842-6934-4A49-8463-96851103AF0C}">
  <ds:schemaRefs>
    <ds:schemaRef ds:uri="http://schemas.microsoft.com/office/infopath/2007/PartnerControls"/>
    <ds:schemaRef ds:uri="http://purl.org/dc/dcmitype/"/>
    <ds:schemaRef ds:uri="http://purl.org/dc/elements/1.1/"/>
    <ds:schemaRef ds:uri="http://schemas.microsoft.com/office/2006/documentManagement/types"/>
    <ds:schemaRef ds:uri="4873beb7-5857-4685-be1f-d57550cc96cc"/>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A5D032-C899-4111-9ADF-CCDA0DBA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NEWSLETTER.dotx</Template>
  <TotalTime>0</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Beth Slamowitz</dc:creator>
  <cp:lastModifiedBy>Krista Hyatt</cp:lastModifiedBy>
  <cp:revision>2</cp:revision>
  <cp:lastPrinted>2018-08-31T21:15:00Z</cp:lastPrinted>
  <dcterms:created xsi:type="dcterms:W3CDTF">2018-09-05T17:05:00Z</dcterms:created>
  <dcterms:modified xsi:type="dcterms:W3CDTF">2018-09-05T17:05:00Z</dcterms:modified>
  <cp:category>#1</cp:category>
  <cp:contentStatus>Pharmacy/DME Program MONTHLY News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